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46B5F" w14:textId="0BB6C5A2" w:rsidR="00AA1244" w:rsidRPr="00366A24" w:rsidRDefault="009139F3" w:rsidP="00AA1244">
      <w:pPr>
        <w:spacing w:after="160" w:line="240" w:lineRule="auto"/>
        <w:jc w:val="right"/>
        <w:rPr>
          <w:rFonts w:ascii="Garamond" w:eastAsia="MS Mincho" w:hAnsi="Garamond" w:cs="Times New Roman"/>
          <w:sz w:val="24"/>
          <w:lang w:val="en-US" w:eastAsia="ja-JP"/>
        </w:rPr>
      </w:pPr>
      <w:proofErr w:type="spellStart"/>
      <w:r>
        <w:rPr>
          <w:rFonts w:ascii="Garamond" w:hAnsi="Garamond"/>
          <w:lang w:val="fr-FR"/>
        </w:rPr>
        <w:t>Forthcoming</w:t>
      </w:r>
      <w:proofErr w:type="spellEnd"/>
      <w:r>
        <w:rPr>
          <w:rFonts w:ascii="Garamond" w:hAnsi="Garamond"/>
          <w:lang w:val="fr-FR"/>
        </w:rPr>
        <w:t xml:space="preserve"> in the Edward Elgar </w:t>
      </w:r>
      <w:proofErr w:type="spellStart"/>
      <w:r w:rsidRPr="00366A24">
        <w:rPr>
          <w:rFonts w:ascii="Garamond" w:hAnsi="Garamond"/>
          <w:i/>
          <w:lang w:val="fr-FR"/>
        </w:rPr>
        <w:t>Research</w:t>
      </w:r>
      <w:proofErr w:type="spellEnd"/>
      <w:r w:rsidRPr="00366A24">
        <w:rPr>
          <w:rFonts w:ascii="Garamond" w:hAnsi="Garamond"/>
          <w:i/>
          <w:lang w:val="fr-FR"/>
        </w:rPr>
        <w:t xml:space="preserve"> </w:t>
      </w:r>
      <w:proofErr w:type="spellStart"/>
      <w:r w:rsidRPr="00366A24">
        <w:rPr>
          <w:rFonts w:ascii="Garamond" w:hAnsi="Garamond"/>
          <w:i/>
          <w:lang w:val="fr-FR"/>
        </w:rPr>
        <w:t>Handbook</w:t>
      </w:r>
      <w:proofErr w:type="spellEnd"/>
      <w:r w:rsidRPr="00366A24">
        <w:rPr>
          <w:rFonts w:ascii="Garamond" w:hAnsi="Garamond"/>
          <w:i/>
          <w:lang w:val="fr-FR"/>
        </w:rPr>
        <w:t xml:space="preserve"> on Trade in Services</w:t>
      </w:r>
    </w:p>
    <w:p w14:paraId="33D7FC18" w14:textId="77777777" w:rsidR="00AA1244" w:rsidRPr="00AA1244" w:rsidRDefault="00AA1244" w:rsidP="00AA1244">
      <w:pPr>
        <w:spacing w:after="0" w:line="240" w:lineRule="auto"/>
        <w:contextualSpacing/>
        <w:jc w:val="center"/>
        <w:rPr>
          <w:rFonts w:ascii="Garamond" w:eastAsia="MS Gothic" w:hAnsi="Garamond" w:cs="Times New Roman"/>
          <w:color w:val="2E74B5"/>
          <w:spacing w:val="-10"/>
          <w:kern w:val="28"/>
          <w:sz w:val="32"/>
          <w:szCs w:val="56"/>
          <w:lang w:val="en-US" w:eastAsia="ja-JP"/>
        </w:rPr>
      </w:pPr>
    </w:p>
    <w:p w14:paraId="7FEF03B9" w14:textId="77777777" w:rsidR="00AA1244" w:rsidRPr="00AA1244" w:rsidRDefault="00AA1244" w:rsidP="00AA1244">
      <w:pPr>
        <w:spacing w:after="0" w:line="240" w:lineRule="auto"/>
        <w:contextualSpacing/>
        <w:jc w:val="center"/>
        <w:rPr>
          <w:rFonts w:ascii="Garamond" w:eastAsia="MS Gothic" w:hAnsi="Garamond" w:cs="Times New Roman"/>
          <w:color w:val="2E74B5"/>
          <w:spacing w:val="-10"/>
          <w:kern w:val="28"/>
          <w:sz w:val="32"/>
          <w:szCs w:val="56"/>
          <w:lang w:val="en-US" w:eastAsia="ja-JP"/>
        </w:rPr>
      </w:pPr>
    </w:p>
    <w:p w14:paraId="0F6EDCB3" w14:textId="77777777" w:rsidR="00AA1244" w:rsidRPr="00AA1244" w:rsidRDefault="00AA1244" w:rsidP="00AA1244">
      <w:pPr>
        <w:spacing w:after="0" w:line="240" w:lineRule="auto"/>
        <w:contextualSpacing/>
        <w:jc w:val="center"/>
        <w:rPr>
          <w:rFonts w:ascii="Garamond" w:eastAsia="MS Gothic" w:hAnsi="Garamond" w:cs="Times New Roman"/>
          <w:color w:val="2E74B5"/>
          <w:spacing w:val="-10"/>
          <w:kern w:val="28"/>
          <w:sz w:val="32"/>
          <w:szCs w:val="56"/>
          <w:lang w:val="en-US" w:eastAsia="ja-JP"/>
        </w:rPr>
      </w:pPr>
    </w:p>
    <w:p w14:paraId="2B1588AF" w14:textId="77777777" w:rsidR="00AA1244" w:rsidRDefault="00AA1244" w:rsidP="00AA1244">
      <w:pPr>
        <w:spacing w:after="0" w:line="240" w:lineRule="auto"/>
        <w:contextualSpacing/>
        <w:jc w:val="center"/>
        <w:rPr>
          <w:rFonts w:ascii="Garamond" w:eastAsia="MS Gothic" w:hAnsi="Garamond" w:cs="Times New Roman"/>
          <w:color w:val="2E74B5"/>
          <w:spacing w:val="-10"/>
          <w:kern w:val="28"/>
          <w:sz w:val="32"/>
          <w:szCs w:val="56"/>
          <w:lang w:val="en-US" w:eastAsia="ja-JP"/>
        </w:rPr>
      </w:pPr>
    </w:p>
    <w:p w14:paraId="7DC8A0AE" w14:textId="77777777" w:rsidR="009139F3" w:rsidRDefault="009139F3" w:rsidP="00AA1244">
      <w:pPr>
        <w:spacing w:after="0" w:line="240" w:lineRule="auto"/>
        <w:contextualSpacing/>
        <w:jc w:val="center"/>
        <w:rPr>
          <w:rFonts w:ascii="Garamond" w:eastAsia="MS Gothic" w:hAnsi="Garamond" w:cs="Times New Roman"/>
          <w:color w:val="2E74B5"/>
          <w:spacing w:val="-10"/>
          <w:kern w:val="28"/>
          <w:sz w:val="32"/>
          <w:szCs w:val="56"/>
          <w:lang w:val="en-US" w:eastAsia="ja-JP"/>
        </w:rPr>
      </w:pPr>
    </w:p>
    <w:p w14:paraId="14C92255" w14:textId="77777777" w:rsidR="009139F3" w:rsidRPr="00AA1244" w:rsidRDefault="009139F3" w:rsidP="00AA1244">
      <w:pPr>
        <w:spacing w:after="0" w:line="240" w:lineRule="auto"/>
        <w:contextualSpacing/>
        <w:jc w:val="center"/>
        <w:rPr>
          <w:rFonts w:ascii="Garamond" w:eastAsia="MS Gothic" w:hAnsi="Garamond" w:cs="Times New Roman"/>
          <w:color w:val="2E74B5"/>
          <w:spacing w:val="-10"/>
          <w:kern w:val="28"/>
          <w:sz w:val="32"/>
          <w:szCs w:val="56"/>
          <w:lang w:val="en-US" w:eastAsia="ja-JP"/>
        </w:rPr>
      </w:pPr>
    </w:p>
    <w:p w14:paraId="74296A40" w14:textId="77777777" w:rsidR="00AA1244" w:rsidRPr="00AA1244" w:rsidRDefault="00AA1244" w:rsidP="00AA1244">
      <w:pPr>
        <w:spacing w:after="0" w:line="240" w:lineRule="auto"/>
        <w:contextualSpacing/>
        <w:jc w:val="center"/>
        <w:rPr>
          <w:rFonts w:ascii="Garamond" w:eastAsia="MS Gothic" w:hAnsi="Garamond" w:cs="Times New Roman"/>
          <w:color w:val="2E74B5"/>
          <w:spacing w:val="-10"/>
          <w:kern w:val="28"/>
          <w:sz w:val="32"/>
          <w:szCs w:val="56"/>
          <w:lang w:val="en-US" w:eastAsia="ja-JP"/>
        </w:rPr>
      </w:pPr>
    </w:p>
    <w:p w14:paraId="73DE20CB" w14:textId="77777777" w:rsidR="00AA1244" w:rsidRPr="00AA1244" w:rsidRDefault="00AA1244" w:rsidP="00AA1244">
      <w:pPr>
        <w:spacing w:after="0" w:line="240" w:lineRule="auto"/>
        <w:contextualSpacing/>
        <w:jc w:val="center"/>
        <w:rPr>
          <w:rFonts w:ascii="Garamond" w:eastAsia="MS Gothic" w:hAnsi="Garamond" w:cs="Times New Roman"/>
          <w:color w:val="2E74B5"/>
          <w:spacing w:val="-10"/>
          <w:kern w:val="28"/>
          <w:sz w:val="32"/>
          <w:szCs w:val="56"/>
          <w:lang w:val="en-US" w:eastAsia="ja-JP"/>
        </w:rPr>
      </w:pPr>
    </w:p>
    <w:p w14:paraId="2B9CFC37" w14:textId="77777777" w:rsidR="00AA1244" w:rsidRPr="00AA1244" w:rsidRDefault="00AA1244" w:rsidP="00AA1244">
      <w:pPr>
        <w:spacing w:after="0" w:line="240" w:lineRule="auto"/>
        <w:contextualSpacing/>
        <w:jc w:val="center"/>
        <w:rPr>
          <w:rFonts w:ascii="Garamond" w:eastAsia="MS Gothic" w:hAnsi="Garamond" w:cs="Times New Roman"/>
          <w:color w:val="2E74B5"/>
          <w:spacing w:val="-10"/>
          <w:kern w:val="28"/>
          <w:sz w:val="32"/>
          <w:szCs w:val="56"/>
          <w:lang w:val="en-US" w:eastAsia="ja-JP"/>
        </w:rPr>
      </w:pPr>
    </w:p>
    <w:p w14:paraId="4084962F" w14:textId="77777777" w:rsidR="00AA1244" w:rsidRPr="00AA1244" w:rsidRDefault="00AA1244" w:rsidP="00AA1244">
      <w:pPr>
        <w:spacing w:after="0" w:line="240" w:lineRule="auto"/>
        <w:contextualSpacing/>
        <w:jc w:val="center"/>
        <w:rPr>
          <w:rFonts w:ascii="Garamond" w:eastAsia="MS Gothic" w:hAnsi="Garamond" w:cs="Times New Roman"/>
          <w:color w:val="2E74B5"/>
          <w:spacing w:val="-10"/>
          <w:kern w:val="28"/>
          <w:sz w:val="32"/>
          <w:szCs w:val="56"/>
          <w:lang w:val="en-US" w:eastAsia="ja-JP"/>
        </w:rPr>
      </w:pPr>
    </w:p>
    <w:p w14:paraId="39825880" w14:textId="77777777" w:rsidR="00AA1244" w:rsidRPr="00AA1244" w:rsidRDefault="00AA1244" w:rsidP="00AA1244">
      <w:pPr>
        <w:spacing w:after="0" w:line="240" w:lineRule="auto"/>
        <w:contextualSpacing/>
        <w:jc w:val="center"/>
        <w:rPr>
          <w:rFonts w:ascii="Garamond" w:eastAsia="MS Gothic" w:hAnsi="Garamond" w:cs="Times New Roman"/>
          <w:color w:val="2E74B5"/>
          <w:spacing w:val="-10"/>
          <w:kern w:val="28"/>
          <w:sz w:val="32"/>
          <w:szCs w:val="56"/>
          <w:lang w:val="en-US" w:eastAsia="ja-JP"/>
        </w:rPr>
      </w:pPr>
    </w:p>
    <w:p w14:paraId="5889EEA8" w14:textId="5CB4913D" w:rsidR="00AA1244" w:rsidRPr="00AA1244" w:rsidRDefault="00AA1244" w:rsidP="00AA1244">
      <w:pPr>
        <w:spacing w:after="0" w:line="240" w:lineRule="auto"/>
        <w:contextualSpacing/>
        <w:jc w:val="center"/>
        <w:rPr>
          <w:rFonts w:ascii="Garamond" w:eastAsia="MS Gothic" w:hAnsi="Garamond" w:cs="Times New Roman"/>
          <w:color w:val="2E74B5"/>
          <w:spacing w:val="-10"/>
          <w:kern w:val="28"/>
          <w:sz w:val="32"/>
          <w:szCs w:val="56"/>
          <w:lang w:val="en-US" w:eastAsia="ja-JP"/>
        </w:rPr>
      </w:pPr>
      <w:r w:rsidRPr="00AA1244">
        <w:rPr>
          <w:rFonts w:ascii="Garamond" w:eastAsia="MS Gothic" w:hAnsi="Garamond" w:cs="Times New Roman"/>
          <w:color w:val="2E74B5"/>
          <w:spacing w:val="-10"/>
          <w:kern w:val="28"/>
          <w:sz w:val="32"/>
          <w:szCs w:val="56"/>
          <w:lang w:val="en-US" w:eastAsia="ja-JP"/>
        </w:rPr>
        <w:t xml:space="preserve">Trade Costs </w:t>
      </w:r>
      <w:r w:rsidR="00B263D8">
        <w:rPr>
          <w:rFonts w:ascii="Garamond" w:eastAsia="MS Gothic" w:hAnsi="Garamond" w:cs="Times New Roman"/>
          <w:color w:val="2E74B5"/>
          <w:spacing w:val="-10"/>
          <w:kern w:val="28"/>
          <w:sz w:val="32"/>
          <w:szCs w:val="56"/>
          <w:lang w:val="en-US" w:eastAsia="ja-JP"/>
        </w:rPr>
        <w:t>and Global Value Chains in Services</w:t>
      </w:r>
    </w:p>
    <w:p w14:paraId="3E9579CC" w14:textId="77777777" w:rsidR="00AA1244" w:rsidRPr="00AA1244" w:rsidRDefault="00AA1244" w:rsidP="00AA1244">
      <w:pPr>
        <w:tabs>
          <w:tab w:val="left" w:pos="4056"/>
        </w:tabs>
        <w:spacing w:after="160" w:line="240" w:lineRule="auto"/>
        <w:jc w:val="both"/>
        <w:rPr>
          <w:rFonts w:ascii="Garamond" w:eastAsia="MS Mincho" w:hAnsi="Garamond" w:cs="Times New Roman"/>
          <w:sz w:val="24"/>
          <w:lang w:val="en-US" w:eastAsia="ja-JP"/>
        </w:rPr>
      </w:pPr>
      <w:r w:rsidRPr="00AA1244">
        <w:rPr>
          <w:rFonts w:ascii="Garamond" w:eastAsia="MS Mincho" w:hAnsi="Garamond" w:cs="Times New Roman"/>
          <w:sz w:val="24"/>
          <w:lang w:val="en-US" w:eastAsia="ja-JP"/>
        </w:rPr>
        <w:tab/>
      </w:r>
    </w:p>
    <w:p w14:paraId="076E6DFD" w14:textId="77777777" w:rsidR="00AA1244" w:rsidRPr="00AA1244" w:rsidRDefault="00AA1244" w:rsidP="00AA1244">
      <w:pPr>
        <w:spacing w:after="160" w:line="240" w:lineRule="auto"/>
        <w:jc w:val="both"/>
        <w:rPr>
          <w:rFonts w:ascii="Garamond" w:eastAsia="MS Mincho" w:hAnsi="Garamond" w:cs="Times New Roman"/>
          <w:sz w:val="24"/>
          <w:lang w:val="en-US" w:eastAsia="ja-JP"/>
        </w:rPr>
      </w:pPr>
    </w:p>
    <w:p w14:paraId="327E4573" w14:textId="77777777" w:rsidR="00AA1244" w:rsidRPr="00AA1244" w:rsidRDefault="00AA1244" w:rsidP="00AA1244">
      <w:pPr>
        <w:spacing w:after="160" w:line="240" w:lineRule="auto"/>
        <w:jc w:val="both"/>
        <w:rPr>
          <w:rFonts w:ascii="Garamond" w:eastAsia="MS Mincho" w:hAnsi="Garamond" w:cs="Times New Roman"/>
          <w:sz w:val="24"/>
          <w:lang w:val="en-US" w:eastAsia="ja-JP"/>
        </w:rPr>
      </w:pPr>
    </w:p>
    <w:p w14:paraId="313B0BA5" w14:textId="79973AC2" w:rsidR="00AA1244" w:rsidRPr="00AA1244" w:rsidRDefault="00B263D8" w:rsidP="00AA1244">
      <w:pPr>
        <w:spacing w:after="160" w:line="240" w:lineRule="auto"/>
        <w:jc w:val="center"/>
        <w:rPr>
          <w:rFonts w:ascii="Garamond" w:eastAsia="ＭＳ 明朝" w:hAnsi="Garamond" w:cs="Times New Roman"/>
          <w:sz w:val="24"/>
          <w:lang w:val="en-US" w:eastAsia="ja-JP"/>
        </w:rPr>
      </w:pPr>
      <w:proofErr w:type="spellStart"/>
      <w:r>
        <w:rPr>
          <w:rFonts w:ascii="Garamond" w:eastAsia="ＭＳ 明朝" w:hAnsi="Garamond" w:cs="Times New Roman"/>
          <w:sz w:val="24"/>
          <w:lang w:val="en-US" w:eastAsia="ja-JP"/>
        </w:rPr>
        <w:t>Sébastien</w:t>
      </w:r>
      <w:proofErr w:type="spellEnd"/>
      <w:r>
        <w:rPr>
          <w:rFonts w:ascii="Garamond" w:eastAsia="ＭＳ 明朝" w:hAnsi="Garamond" w:cs="Times New Roman"/>
          <w:sz w:val="24"/>
          <w:lang w:val="en-US" w:eastAsia="ja-JP"/>
        </w:rPr>
        <w:t xml:space="preserve"> </w:t>
      </w:r>
      <w:proofErr w:type="spellStart"/>
      <w:r>
        <w:rPr>
          <w:rFonts w:ascii="Garamond" w:eastAsia="ＭＳ 明朝" w:hAnsi="Garamond" w:cs="Times New Roman"/>
          <w:sz w:val="24"/>
          <w:lang w:val="en-US" w:eastAsia="ja-JP"/>
        </w:rPr>
        <w:t>Miroudot</w:t>
      </w:r>
      <w:proofErr w:type="spellEnd"/>
      <w:r w:rsidR="00AA1244" w:rsidRPr="00AA1244">
        <w:rPr>
          <w:rFonts w:ascii="Garamond" w:eastAsia="ＭＳ 明朝" w:hAnsi="Garamond" w:cs="Times New Roman"/>
          <w:sz w:val="24"/>
          <w:lang w:val="en-US" w:eastAsia="ja-JP"/>
        </w:rPr>
        <w:t xml:space="preserve">, </w:t>
      </w:r>
      <w:r>
        <w:rPr>
          <w:rFonts w:ascii="Garamond" w:eastAsia="ＭＳ 明朝" w:hAnsi="Garamond" w:cs="Times New Roman"/>
          <w:sz w:val="24"/>
          <w:lang w:val="en-US" w:eastAsia="ja-JP"/>
        </w:rPr>
        <w:t>OECD</w:t>
      </w:r>
      <w:r w:rsidR="00AA1244" w:rsidRPr="00AA1244">
        <w:rPr>
          <w:rFonts w:ascii="Garamond" w:eastAsia="ＭＳ 明朝" w:hAnsi="Garamond" w:cs="Times New Roman"/>
          <w:sz w:val="24"/>
          <w:lang w:val="en-US" w:eastAsia="ja-JP"/>
        </w:rPr>
        <w:t>.</w:t>
      </w:r>
    </w:p>
    <w:p w14:paraId="7BA59C49" w14:textId="77777777" w:rsidR="00AA1244" w:rsidRPr="00AA1244" w:rsidRDefault="00AA1244" w:rsidP="00AA1244">
      <w:pPr>
        <w:spacing w:after="160" w:line="240" w:lineRule="auto"/>
        <w:jc w:val="center"/>
        <w:rPr>
          <w:rFonts w:ascii="Garamond" w:eastAsia="MS Mincho" w:hAnsi="Garamond" w:cs="Times New Roman"/>
          <w:sz w:val="24"/>
          <w:lang w:val="en-US" w:eastAsia="ja-JP"/>
        </w:rPr>
      </w:pPr>
      <w:r w:rsidRPr="00AA1244">
        <w:rPr>
          <w:rFonts w:ascii="Garamond" w:eastAsia="MS Mincho" w:hAnsi="Garamond" w:cs="Times New Roman"/>
          <w:sz w:val="24"/>
          <w:lang w:val="en-US" w:eastAsia="ja-JP"/>
        </w:rPr>
        <w:t>Ben Shepherd, Principal.</w:t>
      </w:r>
    </w:p>
    <w:p w14:paraId="6F10A6F5" w14:textId="77777777" w:rsidR="00AA1244" w:rsidRPr="00AA1244" w:rsidRDefault="00AA1244" w:rsidP="00AA1244">
      <w:pPr>
        <w:spacing w:after="160" w:line="240" w:lineRule="auto"/>
        <w:jc w:val="center"/>
        <w:rPr>
          <w:rFonts w:ascii="Garamond" w:eastAsia="MS Mincho" w:hAnsi="Garamond" w:cs="Times New Roman"/>
          <w:sz w:val="24"/>
          <w:lang w:val="en-US" w:eastAsia="ja-JP"/>
        </w:rPr>
      </w:pPr>
    </w:p>
    <w:p w14:paraId="6CE1F611" w14:textId="75DE3B37" w:rsidR="00AA1244" w:rsidRPr="00AA1244" w:rsidRDefault="00B263D8" w:rsidP="00AA1244">
      <w:pPr>
        <w:spacing w:after="160" w:line="240" w:lineRule="auto"/>
        <w:jc w:val="center"/>
        <w:rPr>
          <w:rFonts w:ascii="Garamond" w:eastAsia="MS Mincho" w:hAnsi="Garamond" w:cs="Times New Roman"/>
          <w:sz w:val="24"/>
          <w:lang w:val="en-US" w:eastAsia="ja-JP"/>
        </w:rPr>
      </w:pPr>
      <w:r>
        <w:rPr>
          <w:rFonts w:ascii="Garamond" w:eastAsia="MS Mincho" w:hAnsi="Garamond" w:cs="Times New Roman"/>
          <w:sz w:val="24"/>
          <w:lang w:val="en-US" w:eastAsia="ja-JP"/>
        </w:rPr>
        <w:t>June 3</w:t>
      </w:r>
      <w:r w:rsidRPr="00366A24">
        <w:rPr>
          <w:rFonts w:ascii="Garamond" w:eastAsia="MS Mincho" w:hAnsi="Garamond" w:cs="Times New Roman"/>
          <w:sz w:val="24"/>
          <w:vertAlign w:val="superscript"/>
          <w:lang w:val="en-US" w:eastAsia="ja-JP"/>
        </w:rPr>
        <w:t>rd</w:t>
      </w:r>
      <w:r>
        <w:rPr>
          <w:rFonts w:ascii="Garamond" w:eastAsia="MS Mincho" w:hAnsi="Garamond" w:cs="Times New Roman"/>
          <w:sz w:val="24"/>
          <w:lang w:val="en-US" w:eastAsia="ja-JP"/>
        </w:rPr>
        <w:t>,</w:t>
      </w:r>
      <w:r w:rsidR="00AA1244" w:rsidRPr="00AA1244">
        <w:rPr>
          <w:rFonts w:ascii="Garamond" w:eastAsia="MS Mincho" w:hAnsi="Garamond" w:cs="Times New Roman"/>
          <w:sz w:val="24"/>
          <w:lang w:val="en-US" w:eastAsia="ja-JP"/>
        </w:rPr>
        <w:t xml:space="preserve"> 2015.</w:t>
      </w:r>
    </w:p>
    <w:p w14:paraId="19211685" w14:textId="77777777" w:rsidR="00AA1244" w:rsidRDefault="00AA1244">
      <w:pPr>
        <w:rPr>
          <w:sz w:val="24"/>
        </w:rPr>
        <w:sectPr w:rsidR="00AA1244" w:rsidSect="00250777">
          <w:footerReference w:type="default" r:id="rId8"/>
          <w:pgSz w:w="11906" w:h="16838"/>
          <w:pgMar w:top="1440" w:right="1440" w:bottom="1440" w:left="1440" w:header="708" w:footer="708" w:gutter="0"/>
          <w:cols w:space="708"/>
          <w:titlePg/>
          <w:docGrid w:linePitch="360"/>
        </w:sectPr>
      </w:pPr>
    </w:p>
    <w:p w14:paraId="041637A3" w14:textId="33A9EE20" w:rsidR="009A693E" w:rsidRPr="00A33A6E" w:rsidRDefault="009A693E">
      <w:pPr>
        <w:rPr>
          <w:sz w:val="24"/>
        </w:rPr>
      </w:pPr>
      <w:r w:rsidRPr="00A33A6E">
        <w:rPr>
          <w:sz w:val="24"/>
        </w:rPr>
        <w:lastRenderedPageBreak/>
        <w:t>Edward Elgar Research Handbook on Trade in Services</w:t>
      </w:r>
    </w:p>
    <w:p w14:paraId="63611B9D" w14:textId="77777777" w:rsidR="009A693E" w:rsidRPr="001D54BD" w:rsidRDefault="009A693E">
      <w:pPr>
        <w:rPr>
          <w:b/>
          <w:bCs/>
          <w:sz w:val="28"/>
          <w:szCs w:val="23"/>
        </w:rPr>
      </w:pPr>
      <w:r w:rsidRPr="001D54BD">
        <w:rPr>
          <w:b/>
          <w:bCs/>
          <w:sz w:val="28"/>
          <w:szCs w:val="23"/>
        </w:rPr>
        <w:t>Trade Costs and Global Value Chains in Services</w:t>
      </w:r>
    </w:p>
    <w:p w14:paraId="1F6D471B" w14:textId="7DCD0525" w:rsidR="009A693E" w:rsidRPr="00A33A6E" w:rsidRDefault="009A693E">
      <w:pPr>
        <w:rPr>
          <w:b/>
          <w:bCs/>
          <w:sz w:val="24"/>
          <w:szCs w:val="23"/>
        </w:rPr>
      </w:pPr>
      <w:r w:rsidRPr="00A33A6E">
        <w:rPr>
          <w:sz w:val="24"/>
          <w:szCs w:val="23"/>
        </w:rPr>
        <w:t>Sébastien Miro</w:t>
      </w:r>
      <w:r w:rsidR="00886570" w:rsidRPr="00A33A6E">
        <w:rPr>
          <w:sz w:val="24"/>
          <w:szCs w:val="23"/>
        </w:rPr>
        <w:t>udot (OECD) and Ben Sheph</w:t>
      </w:r>
      <w:r w:rsidRPr="00A33A6E">
        <w:rPr>
          <w:sz w:val="24"/>
          <w:szCs w:val="23"/>
        </w:rPr>
        <w:t>erd (Developing</w:t>
      </w:r>
      <w:r w:rsidR="00886570" w:rsidRPr="00A33A6E">
        <w:rPr>
          <w:sz w:val="24"/>
          <w:szCs w:val="23"/>
        </w:rPr>
        <w:t xml:space="preserve"> Trade Consultants</w:t>
      </w:r>
      <w:r w:rsidRPr="00A33A6E">
        <w:rPr>
          <w:sz w:val="24"/>
          <w:szCs w:val="23"/>
        </w:rPr>
        <w:t>)</w:t>
      </w:r>
      <w:r w:rsidR="00D926EA" w:rsidRPr="00A33A6E">
        <w:rPr>
          <w:sz w:val="24"/>
          <w:szCs w:val="23"/>
          <w:vertAlign w:val="superscript"/>
        </w:rPr>
        <w:t>*</w:t>
      </w:r>
    </w:p>
    <w:p w14:paraId="3E4D8DF5" w14:textId="77777777" w:rsidR="00886570" w:rsidRDefault="00886570">
      <w:pPr>
        <w:rPr>
          <w:sz w:val="23"/>
          <w:szCs w:val="23"/>
        </w:rPr>
      </w:pPr>
    </w:p>
    <w:p w14:paraId="404BBDDB" w14:textId="77777777" w:rsidR="00886570" w:rsidRDefault="00886570">
      <w:pPr>
        <w:rPr>
          <w:sz w:val="23"/>
          <w:szCs w:val="23"/>
        </w:rPr>
      </w:pPr>
    </w:p>
    <w:p w14:paraId="298050F7" w14:textId="77777777" w:rsidR="00886570" w:rsidRDefault="00886570">
      <w:pPr>
        <w:rPr>
          <w:sz w:val="23"/>
          <w:szCs w:val="23"/>
        </w:rPr>
      </w:pPr>
    </w:p>
    <w:p w14:paraId="3AAECC60" w14:textId="77777777" w:rsidR="00250777" w:rsidRDefault="00250777">
      <w:pPr>
        <w:rPr>
          <w:sz w:val="23"/>
          <w:szCs w:val="23"/>
        </w:rPr>
      </w:pPr>
    </w:p>
    <w:p w14:paraId="5EE36500" w14:textId="77777777" w:rsidR="00886570" w:rsidRPr="00A33A6E" w:rsidRDefault="00886570">
      <w:pPr>
        <w:rPr>
          <w:b/>
          <w:sz w:val="24"/>
          <w:szCs w:val="23"/>
        </w:rPr>
      </w:pPr>
      <w:r w:rsidRPr="00A33A6E">
        <w:rPr>
          <w:b/>
          <w:sz w:val="24"/>
          <w:szCs w:val="23"/>
        </w:rPr>
        <w:t>Abstract</w:t>
      </w:r>
    </w:p>
    <w:p w14:paraId="54A6A0F1" w14:textId="1EB4F221" w:rsidR="009A693E" w:rsidRPr="00A33A6E" w:rsidRDefault="00D35FAC" w:rsidP="00250777">
      <w:pPr>
        <w:jc w:val="both"/>
        <w:rPr>
          <w:sz w:val="24"/>
          <w:szCs w:val="23"/>
        </w:rPr>
      </w:pPr>
      <w:r w:rsidRPr="00A33A6E">
        <w:rPr>
          <w:sz w:val="24"/>
          <w:szCs w:val="23"/>
        </w:rPr>
        <w:t xml:space="preserve">The paper </w:t>
      </w:r>
      <w:r w:rsidR="009A693E" w:rsidRPr="00A33A6E">
        <w:rPr>
          <w:sz w:val="24"/>
          <w:szCs w:val="23"/>
        </w:rPr>
        <w:t>build</w:t>
      </w:r>
      <w:r w:rsidRPr="00A33A6E">
        <w:rPr>
          <w:sz w:val="24"/>
          <w:szCs w:val="23"/>
        </w:rPr>
        <w:t>s</w:t>
      </w:r>
      <w:r w:rsidR="009A693E" w:rsidRPr="00A33A6E">
        <w:rPr>
          <w:sz w:val="24"/>
          <w:szCs w:val="23"/>
        </w:rPr>
        <w:t xml:space="preserve"> on recent work measuring trade i</w:t>
      </w:r>
      <w:r w:rsidRPr="00A33A6E">
        <w:rPr>
          <w:sz w:val="24"/>
          <w:szCs w:val="23"/>
        </w:rPr>
        <w:t>n value added and</w:t>
      </w:r>
      <w:r w:rsidR="009A693E" w:rsidRPr="00A33A6E">
        <w:rPr>
          <w:sz w:val="24"/>
          <w:szCs w:val="23"/>
        </w:rPr>
        <w:t xml:space="preserve"> developing methodologies for estimating trade co</w:t>
      </w:r>
      <w:r w:rsidRPr="00A33A6E">
        <w:rPr>
          <w:sz w:val="24"/>
          <w:szCs w:val="23"/>
        </w:rPr>
        <w:t>sts in order to empirically assess the costs faced by services exporters</w:t>
      </w:r>
      <w:r w:rsidR="009E35DD">
        <w:rPr>
          <w:sz w:val="24"/>
          <w:szCs w:val="23"/>
        </w:rPr>
        <w:t xml:space="preserve"> in the context of global value chains.</w:t>
      </w:r>
      <w:r w:rsidRPr="00A33A6E">
        <w:rPr>
          <w:sz w:val="24"/>
          <w:szCs w:val="23"/>
        </w:rPr>
        <w:t xml:space="preserve"> The paper first calculates trade costs for intermediate and final services and compares these costs across countries and sectors, as well as with similar costs faced by goods exporters. It then</w:t>
      </w:r>
      <w:r w:rsidR="009A693E" w:rsidRPr="00A33A6E">
        <w:rPr>
          <w:sz w:val="24"/>
          <w:szCs w:val="23"/>
        </w:rPr>
        <w:t xml:space="preserve"> use</w:t>
      </w:r>
      <w:r w:rsidRPr="00A33A6E">
        <w:rPr>
          <w:sz w:val="24"/>
          <w:szCs w:val="23"/>
        </w:rPr>
        <w:t>s</w:t>
      </w:r>
      <w:r w:rsidR="009A693E" w:rsidRPr="00A33A6E">
        <w:rPr>
          <w:sz w:val="24"/>
          <w:szCs w:val="23"/>
        </w:rPr>
        <w:t xml:space="preserve"> these measures of services trade costs along with new policy data from the OECD's S</w:t>
      </w:r>
      <w:r w:rsidR="009E35DD">
        <w:rPr>
          <w:sz w:val="24"/>
          <w:szCs w:val="23"/>
        </w:rPr>
        <w:t>ervices Trade Restrictiveness Index (S</w:t>
      </w:r>
      <w:r w:rsidR="009A693E" w:rsidRPr="00A33A6E">
        <w:rPr>
          <w:sz w:val="24"/>
          <w:szCs w:val="23"/>
        </w:rPr>
        <w:t>TRI</w:t>
      </w:r>
      <w:r w:rsidR="009E35DD">
        <w:rPr>
          <w:sz w:val="24"/>
          <w:szCs w:val="23"/>
        </w:rPr>
        <w:t>)</w:t>
      </w:r>
      <w:r w:rsidR="009A693E" w:rsidRPr="00A33A6E">
        <w:rPr>
          <w:sz w:val="24"/>
          <w:szCs w:val="23"/>
        </w:rPr>
        <w:t xml:space="preserve"> to </w:t>
      </w:r>
      <w:r w:rsidR="00107FFD" w:rsidRPr="00A33A6E">
        <w:rPr>
          <w:sz w:val="24"/>
          <w:szCs w:val="23"/>
        </w:rPr>
        <w:t>analyse</w:t>
      </w:r>
      <w:r w:rsidR="009A693E" w:rsidRPr="00A33A6E">
        <w:rPr>
          <w:sz w:val="24"/>
          <w:szCs w:val="23"/>
        </w:rPr>
        <w:t xml:space="preserve"> the determinants of trade costs in each instance, a</w:t>
      </w:r>
      <w:r w:rsidRPr="00A33A6E">
        <w:rPr>
          <w:sz w:val="24"/>
          <w:szCs w:val="23"/>
        </w:rPr>
        <w:t>nd develop policy implications.</w:t>
      </w:r>
    </w:p>
    <w:p w14:paraId="177925A1" w14:textId="110CFA5D" w:rsidR="00250777" w:rsidRDefault="00250777">
      <w:pPr>
        <w:rPr>
          <w:sz w:val="23"/>
          <w:szCs w:val="23"/>
        </w:rPr>
      </w:pPr>
    </w:p>
    <w:p w14:paraId="1DA5506E" w14:textId="77777777" w:rsidR="00886570" w:rsidRDefault="00886570">
      <w:pPr>
        <w:rPr>
          <w:sz w:val="23"/>
          <w:szCs w:val="23"/>
        </w:rPr>
      </w:pPr>
    </w:p>
    <w:p w14:paraId="6A0B559D" w14:textId="77777777" w:rsidR="00D926EA" w:rsidRDefault="00D926EA">
      <w:pPr>
        <w:rPr>
          <w:sz w:val="23"/>
          <w:szCs w:val="23"/>
        </w:rPr>
      </w:pPr>
    </w:p>
    <w:p w14:paraId="4FE05714" w14:textId="77777777" w:rsidR="009A693E" w:rsidRPr="00A33A6E" w:rsidRDefault="00250777">
      <w:pPr>
        <w:rPr>
          <w:sz w:val="24"/>
          <w:szCs w:val="23"/>
        </w:rPr>
      </w:pPr>
      <w:r w:rsidRPr="00A33A6E">
        <w:rPr>
          <w:b/>
          <w:sz w:val="24"/>
          <w:szCs w:val="23"/>
        </w:rPr>
        <w:t>JEL Classification</w:t>
      </w:r>
      <w:r w:rsidR="00886570" w:rsidRPr="00A33A6E">
        <w:rPr>
          <w:sz w:val="24"/>
          <w:szCs w:val="23"/>
        </w:rPr>
        <w:t xml:space="preserve">: </w:t>
      </w:r>
      <w:r w:rsidRPr="00A33A6E">
        <w:rPr>
          <w:sz w:val="24"/>
          <w:szCs w:val="23"/>
        </w:rPr>
        <w:t>F10, F15</w:t>
      </w:r>
    </w:p>
    <w:p w14:paraId="6C797B72" w14:textId="77777777" w:rsidR="00250777" w:rsidRPr="00A33A6E" w:rsidRDefault="00250777">
      <w:pPr>
        <w:rPr>
          <w:sz w:val="24"/>
          <w:szCs w:val="23"/>
        </w:rPr>
      </w:pPr>
      <w:r w:rsidRPr="00A33A6E">
        <w:rPr>
          <w:b/>
          <w:sz w:val="24"/>
          <w:szCs w:val="23"/>
        </w:rPr>
        <w:t>Keywords</w:t>
      </w:r>
      <w:r w:rsidRPr="00A33A6E">
        <w:rPr>
          <w:sz w:val="24"/>
          <w:szCs w:val="23"/>
        </w:rPr>
        <w:t>: Trade Costs, Trade in Services, Global Value Chains, Trade in Value Added, Gravity.</w:t>
      </w:r>
    </w:p>
    <w:p w14:paraId="0B81B4CF" w14:textId="77777777" w:rsidR="00250777" w:rsidRDefault="00250777">
      <w:pPr>
        <w:rPr>
          <w:sz w:val="23"/>
          <w:szCs w:val="23"/>
        </w:rPr>
      </w:pPr>
    </w:p>
    <w:p w14:paraId="0A022E5D" w14:textId="77777777" w:rsidR="00D926EA" w:rsidRDefault="00D926EA">
      <w:pPr>
        <w:rPr>
          <w:sz w:val="23"/>
          <w:szCs w:val="23"/>
        </w:rPr>
      </w:pPr>
    </w:p>
    <w:p w14:paraId="10B94C00" w14:textId="77777777" w:rsidR="00D926EA" w:rsidRDefault="00D926EA">
      <w:pPr>
        <w:rPr>
          <w:sz w:val="23"/>
          <w:szCs w:val="23"/>
        </w:rPr>
      </w:pPr>
    </w:p>
    <w:p w14:paraId="2FA567E7" w14:textId="77777777" w:rsidR="00886570" w:rsidRPr="00A33A6E" w:rsidRDefault="00D926EA">
      <w:pPr>
        <w:rPr>
          <w:szCs w:val="23"/>
        </w:rPr>
      </w:pPr>
      <w:r w:rsidRPr="00A33A6E">
        <w:rPr>
          <w:szCs w:val="23"/>
        </w:rPr>
        <w:t>* The views expressed in this paper are those of the authors and should not be attributed in any way to the institutions with which they are associated or to the membership of the OECD.</w:t>
      </w:r>
      <w:r w:rsidR="00886570" w:rsidRPr="00A33A6E">
        <w:rPr>
          <w:szCs w:val="23"/>
        </w:rPr>
        <w:br w:type="page"/>
      </w:r>
    </w:p>
    <w:p w14:paraId="778FE2D4" w14:textId="77777777" w:rsidR="009A693E" w:rsidRPr="00A33A6E" w:rsidRDefault="009A693E" w:rsidP="00D91C60">
      <w:pPr>
        <w:pStyle w:val="Heading3"/>
        <w:rPr>
          <w:color w:val="1F497D" w:themeColor="text2"/>
        </w:rPr>
      </w:pPr>
      <w:r w:rsidRPr="00A33A6E">
        <w:rPr>
          <w:color w:val="1F497D" w:themeColor="text2"/>
        </w:rPr>
        <w:lastRenderedPageBreak/>
        <w:t>Introduction</w:t>
      </w:r>
    </w:p>
    <w:p w14:paraId="65FDDE04" w14:textId="3CB1BB05" w:rsidR="00D91C60" w:rsidRPr="008A67E5" w:rsidRDefault="00D91C60" w:rsidP="001D54BD">
      <w:pPr>
        <w:jc w:val="both"/>
        <w:rPr>
          <w:sz w:val="24"/>
          <w:szCs w:val="24"/>
        </w:rPr>
      </w:pPr>
      <w:r w:rsidRPr="008A67E5">
        <w:rPr>
          <w:sz w:val="24"/>
          <w:szCs w:val="24"/>
        </w:rPr>
        <w:t>While nearly two-thirds of all economic activity is made up of services, trade in services represents a small share of world trade, between one fifth and one quarter</w:t>
      </w:r>
      <w:r w:rsidR="006E346C">
        <w:rPr>
          <w:sz w:val="24"/>
          <w:szCs w:val="24"/>
        </w:rPr>
        <w:t xml:space="preserve"> when measured on a balance of payments basis</w:t>
      </w:r>
      <w:r w:rsidRPr="008A67E5">
        <w:rPr>
          <w:sz w:val="24"/>
          <w:szCs w:val="24"/>
        </w:rPr>
        <w:t>. But recent research has highlighted that many services are traded embodied in goods (OECD, 2013).</w:t>
      </w:r>
      <w:r w:rsidR="00C121D5" w:rsidRPr="008A67E5">
        <w:rPr>
          <w:sz w:val="24"/>
          <w:szCs w:val="24"/>
        </w:rPr>
        <w:t xml:space="preserve"> With a value added approach,</w:t>
      </w:r>
      <w:r w:rsidR="00332595" w:rsidRPr="008A67E5">
        <w:rPr>
          <w:sz w:val="24"/>
          <w:szCs w:val="24"/>
        </w:rPr>
        <w:t xml:space="preserve"> services account for almost</w:t>
      </w:r>
      <w:r w:rsidR="00C121D5" w:rsidRPr="008A67E5">
        <w:rPr>
          <w:sz w:val="24"/>
          <w:szCs w:val="24"/>
        </w:rPr>
        <w:t xml:space="preserve"> half of world trade.</w:t>
      </w:r>
      <w:r w:rsidR="00332595" w:rsidRPr="008A67E5">
        <w:rPr>
          <w:sz w:val="24"/>
          <w:szCs w:val="24"/>
        </w:rPr>
        <w:t xml:space="preserve"> On the one hand, this is explained by the increasing tradability of services due to technological progress but also </w:t>
      </w:r>
      <w:r w:rsidR="006E346C">
        <w:rPr>
          <w:sz w:val="24"/>
          <w:szCs w:val="24"/>
        </w:rPr>
        <w:t xml:space="preserve">to </w:t>
      </w:r>
      <w:r w:rsidR="00332595" w:rsidRPr="008A67E5">
        <w:rPr>
          <w:sz w:val="24"/>
          <w:szCs w:val="24"/>
        </w:rPr>
        <w:t xml:space="preserve">trade </w:t>
      </w:r>
      <w:r w:rsidR="006E346C">
        <w:rPr>
          <w:sz w:val="24"/>
          <w:szCs w:val="24"/>
        </w:rPr>
        <w:t xml:space="preserve">and investment </w:t>
      </w:r>
      <w:r w:rsidR="00332595" w:rsidRPr="008A67E5">
        <w:rPr>
          <w:sz w:val="24"/>
          <w:szCs w:val="24"/>
        </w:rPr>
        <w:t>liberalisation. On the other hand, this is the consequence of the fragmentation of production and the essential role of services in linking activities that are geographically dispersed</w:t>
      </w:r>
      <w:r w:rsidR="00CA1C8D" w:rsidRPr="008A67E5">
        <w:rPr>
          <w:sz w:val="24"/>
          <w:szCs w:val="24"/>
        </w:rPr>
        <w:t xml:space="preserve"> in </w:t>
      </w:r>
      <w:r w:rsidR="00976D9C" w:rsidRPr="008A67E5">
        <w:rPr>
          <w:sz w:val="24"/>
          <w:szCs w:val="24"/>
        </w:rPr>
        <w:t>global value chains (GVCs)</w:t>
      </w:r>
      <w:r w:rsidR="00332595" w:rsidRPr="008A67E5">
        <w:rPr>
          <w:sz w:val="24"/>
          <w:szCs w:val="24"/>
        </w:rPr>
        <w:t>. More than</w:t>
      </w:r>
      <w:r w:rsidR="006E346C">
        <w:rPr>
          <w:sz w:val="24"/>
          <w:szCs w:val="24"/>
        </w:rPr>
        <w:t xml:space="preserve"> ever</w:t>
      </w:r>
      <w:r w:rsidR="00332595" w:rsidRPr="008A67E5">
        <w:rPr>
          <w:sz w:val="24"/>
          <w:szCs w:val="24"/>
        </w:rPr>
        <w:t xml:space="preserve"> before, the world economy relies on transport, logistics, financial services and a variety of business services to move goods, people and capital</w:t>
      </w:r>
      <w:r w:rsidR="006E346C">
        <w:rPr>
          <w:sz w:val="24"/>
          <w:szCs w:val="24"/>
        </w:rPr>
        <w:t xml:space="preserve"> around</w:t>
      </w:r>
      <w:r w:rsidR="00332595" w:rsidRPr="008A67E5">
        <w:rPr>
          <w:sz w:val="24"/>
          <w:szCs w:val="24"/>
        </w:rPr>
        <w:t>.</w:t>
      </w:r>
      <w:r w:rsidR="001D54BD" w:rsidRPr="008A67E5">
        <w:rPr>
          <w:sz w:val="24"/>
          <w:szCs w:val="24"/>
        </w:rPr>
        <w:t xml:space="preserve"> All the</w:t>
      </w:r>
      <w:r w:rsidR="00C121D5" w:rsidRPr="008A67E5">
        <w:rPr>
          <w:sz w:val="24"/>
          <w:szCs w:val="24"/>
        </w:rPr>
        <w:t xml:space="preserve"> new </w:t>
      </w:r>
      <w:r w:rsidR="001D54BD" w:rsidRPr="008A67E5">
        <w:rPr>
          <w:sz w:val="24"/>
          <w:szCs w:val="24"/>
        </w:rPr>
        <w:t>evidence on global value chains</w:t>
      </w:r>
      <w:r w:rsidR="00C121D5" w:rsidRPr="008A67E5">
        <w:rPr>
          <w:sz w:val="24"/>
          <w:szCs w:val="24"/>
        </w:rPr>
        <w:t xml:space="preserve"> points out</w:t>
      </w:r>
      <w:r w:rsidR="00416201" w:rsidRPr="008A67E5">
        <w:rPr>
          <w:sz w:val="24"/>
          <w:szCs w:val="24"/>
        </w:rPr>
        <w:t xml:space="preserve"> to</w:t>
      </w:r>
      <w:r w:rsidR="00C121D5" w:rsidRPr="008A67E5">
        <w:rPr>
          <w:sz w:val="24"/>
          <w:szCs w:val="24"/>
        </w:rPr>
        <w:t xml:space="preserve"> </w:t>
      </w:r>
      <w:r w:rsidR="00416201" w:rsidRPr="008A67E5">
        <w:rPr>
          <w:sz w:val="24"/>
          <w:szCs w:val="24"/>
        </w:rPr>
        <w:t>the importance of services inputs in trade.</w:t>
      </w:r>
    </w:p>
    <w:p w14:paraId="573B3B29" w14:textId="14922C2D" w:rsidR="00C121D5" w:rsidRPr="008A67E5" w:rsidRDefault="00C121D5" w:rsidP="00D91C60">
      <w:pPr>
        <w:jc w:val="both"/>
        <w:rPr>
          <w:sz w:val="24"/>
          <w:szCs w:val="24"/>
        </w:rPr>
      </w:pPr>
      <w:r w:rsidRPr="008A67E5">
        <w:rPr>
          <w:sz w:val="24"/>
          <w:szCs w:val="24"/>
        </w:rPr>
        <w:t xml:space="preserve">The literature on trade in goods has already started to assess the implications of the fragmentation of production on trade costs and their analysis (Noguera, 2012). </w:t>
      </w:r>
      <w:r w:rsidR="00416201" w:rsidRPr="008A67E5">
        <w:rPr>
          <w:sz w:val="24"/>
          <w:szCs w:val="24"/>
        </w:rPr>
        <w:t xml:space="preserve">Theoretical models have also been developed to extend the gravity model to services (Anderson </w:t>
      </w:r>
      <w:r w:rsidR="00416201" w:rsidRPr="008A67E5">
        <w:rPr>
          <w:i/>
          <w:sz w:val="24"/>
          <w:szCs w:val="24"/>
        </w:rPr>
        <w:t>et al.</w:t>
      </w:r>
      <w:r w:rsidR="00416201" w:rsidRPr="008A67E5">
        <w:rPr>
          <w:sz w:val="24"/>
          <w:szCs w:val="24"/>
        </w:rPr>
        <w:t>, 20</w:t>
      </w:r>
      <w:r w:rsidR="00197C2D" w:rsidRPr="008A67E5">
        <w:rPr>
          <w:sz w:val="24"/>
          <w:szCs w:val="24"/>
        </w:rPr>
        <w:t>14</w:t>
      </w:r>
      <w:r w:rsidR="00416201" w:rsidRPr="008A67E5">
        <w:rPr>
          <w:sz w:val="24"/>
          <w:szCs w:val="24"/>
        </w:rPr>
        <w:t xml:space="preserve">) and to empirically measure trade costs for services (Miroudot </w:t>
      </w:r>
      <w:r w:rsidR="00416201" w:rsidRPr="008A67E5">
        <w:rPr>
          <w:i/>
          <w:sz w:val="24"/>
          <w:szCs w:val="24"/>
        </w:rPr>
        <w:t>et al.</w:t>
      </w:r>
      <w:r w:rsidR="00416201" w:rsidRPr="008A67E5">
        <w:rPr>
          <w:sz w:val="24"/>
          <w:szCs w:val="24"/>
        </w:rPr>
        <w:t>, 2013</w:t>
      </w:r>
      <w:r w:rsidR="0028464A" w:rsidRPr="008A67E5">
        <w:rPr>
          <w:sz w:val="24"/>
          <w:szCs w:val="24"/>
        </w:rPr>
        <w:t>a</w:t>
      </w:r>
      <w:r w:rsidR="00416201" w:rsidRPr="008A67E5">
        <w:rPr>
          <w:sz w:val="24"/>
          <w:szCs w:val="24"/>
        </w:rPr>
        <w:t xml:space="preserve">). In this paper, we propose to </w:t>
      </w:r>
      <w:r w:rsidR="00976D9C" w:rsidRPr="008A67E5">
        <w:rPr>
          <w:sz w:val="24"/>
          <w:szCs w:val="24"/>
        </w:rPr>
        <w:t xml:space="preserve">further </w:t>
      </w:r>
      <w:r w:rsidR="00416201" w:rsidRPr="008A67E5">
        <w:rPr>
          <w:sz w:val="24"/>
          <w:szCs w:val="24"/>
        </w:rPr>
        <w:t>integrate the GVC perspective into the analysis of trade in services with new measures of trade costs</w:t>
      </w:r>
      <w:r w:rsidR="00460238">
        <w:rPr>
          <w:sz w:val="24"/>
          <w:szCs w:val="24"/>
        </w:rPr>
        <w:t xml:space="preserve"> distinguishing between services inputs and services provided for final consumption</w:t>
      </w:r>
      <w:r w:rsidR="00416201" w:rsidRPr="008A67E5">
        <w:rPr>
          <w:sz w:val="24"/>
          <w:szCs w:val="24"/>
        </w:rPr>
        <w:t>.</w:t>
      </w:r>
      <w:r w:rsidR="00831091" w:rsidRPr="008A67E5">
        <w:rPr>
          <w:sz w:val="24"/>
          <w:szCs w:val="24"/>
        </w:rPr>
        <w:t xml:space="preserve"> We also look at the policy determinants of these trade costs, using recently released information on barriers to trade in services.</w:t>
      </w:r>
    </w:p>
    <w:p w14:paraId="16596977" w14:textId="77777777" w:rsidR="009A693E" w:rsidRDefault="00831091" w:rsidP="00831091">
      <w:pPr>
        <w:pStyle w:val="Heading1"/>
      </w:pPr>
      <w:r>
        <w:t>1</w:t>
      </w:r>
      <w:r w:rsidR="009A693E">
        <w:t>. The role of services in global value chains</w:t>
      </w:r>
    </w:p>
    <w:p w14:paraId="7F2FBE56" w14:textId="77777777" w:rsidR="00332595" w:rsidRDefault="00332595" w:rsidP="00332595">
      <w:pPr>
        <w:pStyle w:val="Heading2"/>
      </w:pPr>
      <w:r>
        <w:t>1.1 Services links in global value chains</w:t>
      </w:r>
    </w:p>
    <w:p w14:paraId="65A5EDB7" w14:textId="252E651E" w:rsidR="00332595" w:rsidRPr="00A33A6E" w:rsidRDefault="00332595" w:rsidP="00332595">
      <w:pPr>
        <w:jc w:val="both"/>
        <w:rPr>
          <w:sz w:val="24"/>
          <w:szCs w:val="24"/>
        </w:rPr>
      </w:pPr>
      <w:r w:rsidRPr="00A33A6E">
        <w:rPr>
          <w:sz w:val="24"/>
          <w:szCs w:val="24"/>
        </w:rPr>
        <w:t xml:space="preserve">From Adam Smith to the latest growth theories, the division of labour has been at the heart of explanations of productivity growth. GVCs </w:t>
      </w:r>
      <w:r w:rsidR="006E346C">
        <w:rPr>
          <w:sz w:val="24"/>
          <w:szCs w:val="24"/>
        </w:rPr>
        <w:t xml:space="preserve">can be seen </w:t>
      </w:r>
      <w:r w:rsidRPr="00A33A6E">
        <w:rPr>
          <w:sz w:val="24"/>
          <w:szCs w:val="24"/>
        </w:rPr>
        <w:t>a</w:t>
      </w:r>
      <w:r w:rsidR="006E346C">
        <w:rPr>
          <w:sz w:val="24"/>
          <w:szCs w:val="24"/>
        </w:rPr>
        <w:t>s</w:t>
      </w:r>
      <w:r w:rsidRPr="00A33A6E">
        <w:rPr>
          <w:sz w:val="24"/>
          <w:szCs w:val="24"/>
        </w:rPr>
        <w:t xml:space="preserve"> just the </w:t>
      </w:r>
      <w:r w:rsidR="006E346C">
        <w:rPr>
          <w:sz w:val="24"/>
          <w:szCs w:val="24"/>
        </w:rPr>
        <w:t xml:space="preserve">latest </w:t>
      </w:r>
      <w:r w:rsidRPr="00A33A6E">
        <w:rPr>
          <w:sz w:val="24"/>
          <w:szCs w:val="24"/>
        </w:rPr>
        <w:t>level in the international division of labour. They have contributed to the upward shift in productivity observed from the mid-1990s to the mid-2000s. Trade, and not just the ICT revolution, has increased growth (Feenstra et al., 2013)</w:t>
      </w:r>
      <w:r w:rsidR="006E346C">
        <w:rPr>
          <w:sz w:val="24"/>
          <w:szCs w:val="24"/>
        </w:rPr>
        <w:t>,</w:t>
      </w:r>
      <w:r w:rsidRPr="00A33A6E">
        <w:rPr>
          <w:sz w:val="24"/>
          <w:szCs w:val="24"/>
        </w:rPr>
        <w:t xml:space="preserve"> in particular because trade in intermediate goods and services improves the allocation of capital and labour across sectors and countries (Jones, 2011). Services play an important role in the value chain because they enable companies to manage production processes that are split across countries (Jones and Kierzkowski, 2001). Without these service links (transport, communication, logistics, finance, etc.), there </w:t>
      </w:r>
      <w:r w:rsidR="006E346C">
        <w:rPr>
          <w:sz w:val="24"/>
          <w:szCs w:val="24"/>
        </w:rPr>
        <w:t>c</w:t>
      </w:r>
      <w:r w:rsidRPr="00A33A6E">
        <w:rPr>
          <w:sz w:val="24"/>
          <w:szCs w:val="24"/>
        </w:rPr>
        <w:t>ould be no global value chain.</w:t>
      </w:r>
    </w:p>
    <w:p w14:paraId="299D64B7" w14:textId="77777777" w:rsidR="00332595" w:rsidRDefault="00332595" w:rsidP="00332595">
      <w:pPr>
        <w:pStyle w:val="Heading2"/>
      </w:pPr>
      <w:r>
        <w:t>1.2 Services as value adding activities</w:t>
      </w:r>
    </w:p>
    <w:p w14:paraId="162D9527" w14:textId="22D6BE5C" w:rsidR="00332595" w:rsidRPr="00A33A6E" w:rsidRDefault="001D54BD" w:rsidP="00332595">
      <w:pPr>
        <w:jc w:val="both"/>
        <w:rPr>
          <w:sz w:val="24"/>
          <w:szCs w:val="24"/>
        </w:rPr>
      </w:pPr>
      <w:r w:rsidRPr="00A33A6E">
        <w:rPr>
          <w:sz w:val="24"/>
          <w:szCs w:val="24"/>
        </w:rPr>
        <w:t xml:space="preserve">But services are not just the “glue” in global value chains; they are also increasingly seen as “value adding activities” </w:t>
      </w:r>
      <w:r w:rsidR="006E346C">
        <w:rPr>
          <w:sz w:val="24"/>
          <w:szCs w:val="24"/>
        </w:rPr>
        <w:t>in their o</w:t>
      </w:r>
      <w:r w:rsidR="006F4FBD">
        <w:rPr>
          <w:sz w:val="24"/>
          <w:szCs w:val="24"/>
        </w:rPr>
        <w:t>w</w:t>
      </w:r>
      <w:r w:rsidR="006E346C">
        <w:rPr>
          <w:sz w:val="24"/>
          <w:szCs w:val="24"/>
        </w:rPr>
        <w:t xml:space="preserve">n right </w:t>
      </w:r>
      <w:r w:rsidRPr="00A33A6E">
        <w:rPr>
          <w:sz w:val="24"/>
          <w:szCs w:val="24"/>
        </w:rPr>
        <w:t xml:space="preserve">(Dermirkan </w:t>
      </w:r>
      <w:r w:rsidRPr="00A33A6E">
        <w:rPr>
          <w:i/>
          <w:sz w:val="24"/>
          <w:szCs w:val="24"/>
        </w:rPr>
        <w:t>et al.</w:t>
      </w:r>
      <w:r w:rsidRPr="00A33A6E">
        <w:rPr>
          <w:sz w:val="24"/>
          <w:szCs w:val="24"/>
        </w:rPr>
        <w:t>, 2011; Low, 2014)</w:t>
      </w:r>
      <w:r w:rsidR="00332595" w:rsidRPr="00A33A6E">
        <w:rPr>
          <w:sz w:val="24"/>
          <w:szCs w:val="24"/>
        </w:rPr>
        <w:t>. Services are behind enterprise innovation at several levels. Increasingly, R&amp;D and design activities at the beginning of the value chain are being outsourced and becoming service inputs in</w:t>
      </w:r>
      <w:r w:rsidR="006E346C">
        <w:rPr>
          <w:sz w:val="24"/>
          <w:szCs w:val="24"/>
        </w:rPr>
        <w:t>to</w:t>
      </w:r>
      <w:r w:rsidR="00332595" w:rsidRPr="00A33A6E">
        <w:rPr>
          <w:sz w:val="24"/>
          <w:szCs w:val="24"/>
        </w:rPr>
        <w:t xml:space="preserve"> GVC</w:t>
      </w:r>
      <w:r w:rsidR="006E346C">
        <w:rPr>
          <w:sz w:val="24"/>
          <w:szCs w:val="24"/>
        </w:rPr>
        <w:t>s</w:t>
      </w:r>
      <w:r w:rsidR="00332595" w:rsidRPr="00A33A6E">
        <w:rPr>
          <w:sz w:val="24"/>
          <w:szCs w:val="24"/>
        </w:rPr>
        <w:t xml:space="preserve">. </w:t>
      </w:r>
      <w:r w:rsidR="00332595" w:rsidRPr="00A33A6E">
        <w:rPr>
          <w:sz w:val="24"/>
          <w:szCs w:val="24"/>
        </w:rPr>
        <w:lastRenderedPageBreak/>
        <w:t>Even if R&amp;D is conducted in-house, it is also through services (training, education) that the necessary human capital is maintained. Skill improvement</w:t>
      </w:r>
      <w:r w:rsidR="006E346C">
        <w:rPr>
          <w:sz w:val="24"/>
          <w:szCs w:val="24"/>
        </w:rPr>
        <w:t>s</w:t>
      </w:r>
      <w:r w:rsidR="00332595" w:rsidRPr="00A33A6E">
        <w:rPr>
          <w:sz w:val="24"/>
          <w:szCs w:val="24"/>
        </w:rPr>
        <w:t>, and likewise consulting services and other types of business services, can increase the productivity of firms at any stage</w:t>
      </w:r>
      <w:r w:rsidR="00D81C00">
        <w:rPr>
          <w:sz w:val="24"/>
          <w:szCs w:val="24"/>
        </w:rPr>
        <w:t xml:space="preserve"> in the value chain</w:t>
      </w:r>
      <w:r w:rsidR="00332595" w:rsidRPr="00A33A6E">
        <w:rPr>
          <w:sz w:val="24"/>
          <w:szCs w:val="24"/>
        </w:rPr>
        <w:t>. Another type of innovation is product innovation</w:t>
      </w:r>
      <w:r w:rsidR="006E346C">
        <w:rPr>
          <w:sz w:val="24"/>
          <w:szCs w:val="24"/>
        </w:rPr>
        <w:t>. M</w:t>
      </w:r>
      <w:r w:rsidR="00332595" w:rsidRPr="00A33A6E">
        <w:rPr>
          <w:sz w:val="24"/>
          <w:szCs w:val="24"/>
        </w:rPr>
        <w:t>ore and more firms are developing their value added by bundling goods and services. Instead of selling products, firms sell solutions; customer services are an integral part of their strategy to add value. Interactions between producers and customers lead to higher levels of customization. These tailored solutions also enhance productivity and contribute to growth.</w:t>
      </w:r>
    </w:p>
    <w:p w14:paraId="6DBFB662" w14:textId="77777777" w:rsidR="0029080C" w:rsidRDefault="0029080C" w:rsidP="0029080C">
      <w:pPr>
        <w:pStyle w:val="Heading2"/>
      </w:pPr>
      <w:r>
        <w:t>1.3 Services value chains</w:t>
      </w:r>
    </w:p>
    <w:p w14:paraId="6EC4B6CC" w14:textId="3CF33FC5" w:rsidR="0029080C" w:rsidRPr="00A33A6E" w:rsidRDefault="0029080C" w:rsidP="0029080C">
      <w:pPr>
        <w:jc w:val="both"/>
        <w:rPr>
          <w:sz w:val="24"/>
        </w:rPr>
      </w:pPr>
      <w:r w:rsidRPr="00A33A6E">
        <w:rPr>
          <w:sz w:val="24"/>
        </w:rPr>
        <w:t>The fragmentation of production</w:t>
      </w:r>
      <w:r w:rsidR="006E346C">
        <w:rPr>
          <w:sz w:val="24"/>
        </w:rPr>
        <w:t xml:space="preserve">, which has long taken </w:t>
      </w:r>
      <w:r w:rsidRPr="00A33A6E">
        <w:rPr>
          <w:sz w:val="24"/>
        </w:rPr>
        <w:t xml:space="preserve">place in manufacturing industries, </w:t>
      </w:r>
      <w:r w:rsidR="006E346C">
        <w:rPr>
          <w:sz w:val="24"/>
        </w:rPr>
        <w:t xml:space="preserve">is now increasingly occurring </w:t>
      </w:r>
      <w:r w:rsidRPr="00A33A6E">
        <w:rPr>
          <w:sz w:val="24"/>
        </w:rPr>
        <w:t xml:space="preserve">also in services. </w:t>
      </w:r>
      <w:r w:rsidR="004567A2" w:rsidRPr="00A33A6E">
        <w:rPr>
          <w:sz w:val="24"/>
        </w:rPr>
        <w:t xml:space="preserve">De Backer and Miroudot (2013) indicate that the length of value chains and the use of foreign inputs have increased in several service industries, such as financial services and business services. Rather than a linear value chain, these services are produced through a network of activities in what looks more like a “spider” than a “snake” (Baldwin and Venables, 2010). </w:t>
      </w:r>
      <w:r w:rsidRPr="00A33A6E">
        <w:rPr>
          <w:sz w:val="24"/>
        </w:rPr>
        <w:t xml:space="preserve">Gereffi and Fernandez-Stark (2010) discussed GVCs in business services </w:t>
      </w:r>
      <w:r w:rsidR="00A02552">
        <w:rPr>
          <w:sz w:val="24"/>
        </w:rPr>
        <w:t xml:space="preserve">in depth </w:t>
      </w:r>
      <w:r w:rsidRPr="00A33A6E">
        <w:rPr>
          <w:sz w:val="24"/>
        </w:rPr>
        <w:t>by explicitly distinguishing</w:t>
      </w:r>
      <w:r w:rsidR="00F453CE" w:rsidRPr="00A33A6E">
        <w:rPr>
          <w:sz w:val="24"/>
        </w:rPr>
        <w:t xml:space="preserve"> between horizontal activities (</w:t>
      </w:r>
      <w:r w:rsidRPr="00A33A6E">
        <w:rPr>
          <w:i/>
          <w:sz w:val="24"/>
        </w:rPr>
        <w:t>i.e.</w:t>
      </w:r>
      <w:r w:rsidRPr="00A33A6E">
        <w:rPr>
          <w:sz w:val="24"/>
        </w:rPr>
        <w:t xml:space="preserve"> services that are needed by any type of </w:t>
      </w:r>
      <w:r w:rsidR="00F453CE" w:rsidRPr="00A33A6E">
        <w:rPr>
          <w:sz w:val="24"/>
        </w:rPr>
        <w:t>company) and vertical activities (</w:t>
      </w:r>
      <w:r w:rsidRPr="00A33A6E">
        <w:rPr>
          <w:i/>
          <w:sz w:val="24"/>
        </w:rPr>
        <w:t>i.e.</w:t>
      </w:r>
      <w:r w:rsidRPr="00A33A6E">
        <w:rPr>
          <w:sz w:val="24"/>
        </w:rPr>
        <w:t xml:space="preserve"> services that are part of a specific value chain i</w:t>
      </w:r>
      <w:r w:rsidR="00F453CE" w:rsidRPr="00A33A6E">
        <w:rPr>
          <w:sz w:val="24"/>
        </w:rPr>
        <w:t>n the manufacturing sector).</w:t>
      </w:r>
    </w:p>
    <w:p w14:paraId="0BA5B137" w14:textId="77777777" w:rsidR="009A693E" w:rsidRDefault="009A693E" w:rsidP="00831091">
      <w:pPr>
        <w:pStyle w:val="Heading1"/>
      </w:pPr>
      <w:r>
        <w:t>2. Estimating trade costs for services when production is fragmented</w:t>
      </w:r>
    </w:p>
    <w:p w14:paraId="6E8C3D41" w14:textId="77777777" w:rsidR="00831091" w:rsidRDefault="0029080C" w:rsidP="0029080C">
      <w:pPr>
        <w:pStyle w:val="Heading2"/>
      </w:pPr>
      <w:r>
        <w:t xml:space="preserve">2.1 Gravity </w:t>
      </w:r>
      <w:r w:rsidR="000267B5">
        <w:t xml:space="preserve">and trade costs </w:t>
      </w:r>
      <w:r>
        <w:t>for services</w:t>
      </w:r>
    </w:p>
    <w:p w14:paraId="1516E23F" w14:textId="5AE244CD" w:rsidR="00D35FAC" w:rsidRPr="00A33A6E" w:rsidRDefault="00A55FA7" w:rsidP="00496556">
      <w:pPr>
        <w:jc w:val="both"/>
        <w:rPr>
          <w:sz w:val="24"/>
          <w:szCs w:val="24"/>
        </w:rPr>
      </w:pPr>
      <w:r w:rsidRPr="00A33A6E">
        <w:rPr>
          <w:sz w:val="24"/>
          <w:szCs w:val="24"/>
        </w:rPr>
        <w:t xml:space="preserve">There are challenges in measuring trade in services </w:t>
      </w:r>
      <w:r w:rsidR="00F02C7D" w:rsidRPr="00A33A6E">
        <w:rPr>
          <w:sz w:val="24"/>
          <w:szCs w:val="24"/>
        </w:rPr>
        <w:t>(Brousso</w:t>
      </w:r>
      <w:r w:rsidR="00D947FD" w:rsidRPr="00A33A6E">
        <w:rPr>
          <w:sz w:val="24"/>
          <w:szCs w:val="24"/>
        </w:rPr>
        <w:t>l</w:t>
      </w:r>
      <w:r w:rsidR="00F02C7D" w:rsidRPr="00A33A6E">
        <w:rPr>
          <w:sz w:val="24"/>
          <w:szCs w:val="24"/>
        </w:rPr>
        <w:t xml:space="preserve">le, 2014) </w:t>
      </w:r>
      <w:r w:rsidRPr="00A33A6E">
        <w:rPr>
          <w:sz w:val="24"/>
          <w:szCs w:val="24"/>
        </w:rPr>
        <w:t xml:space="preserve">and comprehensive bilateral trade data for services are not easily available. </w:t>
      </w:r>
      <w:r w:rsidR="00A02552">
        <w:rPr>
          <w:sz w:val="24"/>
          <w:szCs w:val="24"/>
        </w:rPr>
        <w:t xml:space="preserve">This </w:t>
      </w:r>
      <w:r w:rsidRPr="00A33A6E">
        <w:rPr>
          <w:sz w:val="24"/>
          <w:szCs w:val="24"/>
        </w:rPr>
        <w:t xml:space="preserve">could explain why for a long time the gravity literature has </w:t>
      </w:r>
      <w:r w:rsidR="00A02552">
        <w:rPr>
          <w:sz w:val="24"/>
          <w:szCs w:val="24"/>
        </w:rPr>
        <w:t xml:space="preserve">chiefly </w:t>
      </w:r>
      <w:r w:rsidRPr="00A33A6E">
        <w:rPr>
          <w:sz w:val="24"/>
          <w:szCs w:val="24"/>
        </w:rPr>
        <w:t>focused on trade in goods.</w:t>
      </w:r>
      <w:r w:rsidR="0081641A" w:rsidRPr="00A33A6E">
        <w:rPr>
          <w:sz w:val="24"/>
          <w:szCs w:val="24"/>
        </w:rPr>
        <w:t xml:space="preserve"> But recently, it was shown that what applies for goods</w:t>
      </w:r>
      <w:r w:rsidR="00D35FAC" w:rsidRPr="00A33A6E">
        <w:rPr>
          <w:sz w:val="24"/>
          <w:szCs w:val="24"/>
        </w:rPr>
        <w:t xml:space="preserve"> is also relevant for services</w:t>
      </w:r>
      <w:r w:rsidR="00AA369D" w:rsidRPr="00A33A6E">
        <w:rPr>
          <w:sz w:val="24"/>
          <w:szCs w:val="24"/>
        </w:rPr>
        <w:t xml:space="preserve"> (Walsh, 2008)</w:t>
      </w:r>
      <w:r w:rsidR="00D35FAC" w:rsidRPr="00A33A6E">
        <w:rPr>
          <w:sz w:val="24"/>
          <w:szCs w:val="24"/>
        </w:rPr>
        <w:t>.</w:t>
      </w:r>
    </w:p>
    <w:p w14:paraId="29F259A3" w14:textId="35765D51" w:rsidR="0029080C" w:rsidRPr="00A33A6E" w:rsidRDefault="0081641A" w:rsidP="00496556">
      <w:pPr>
        <w:jc w:val="both"/>
        <w:rPr>
          <w:sz w:val="24"/>
          <w:szCs w:val="24"/>
        </w:rPr>
      </w:pPr>
      <w:r w:rsidRPr="00A33A6E">
        <w:rPr>
          <w:sz w:val="24"/>
          <w:szCs w:val="24"/>
        </w:rPr>
        <w:t xml:space="preserve">Anderson </w:t>
      </w:r>
      <w:r w:rsidRPr="00A33A6E">
        <w:rPr>
          <w:i/>
          <w:sz w:val="24"/>
          <w:szCs w:val="24"/>
        </w:rPr>
        <w:t>et al.</w:t>
      </w:r>
      <w:r w:rsidRPr="00A33A6E">
        <w:rPr>
          <w:sz w:val="24"/>
          <w:szCs w:val="24"/>
        </w:rPr>
        <w:t xml:space="preserve"> (2014)</w:t>
      </w:r>
      <w:r w:rsidR="009B6553" w:rsidRPr="00A33A6E">
        <w:rPr>
          <w:sz w:val="24"/>
          <w:szCs w:val="24"/>
        </w:rPr>
        <w:t xml:space="preserve"> provide a theoretical foundation for the gravity equation and use it to analyse bilateral trade flows in services.</w:t>
      </w:r>
      <w:r w:rsidR="00956256" w:rsidRPr="00A33A6E">
        <w:rPr>
          <w:sz w:val="24"/>
          <w:szCs w:val="24"/>
        </w:rPr>
        <w:t xml:space="preserve"> The structural gravity model explains bilateral trade at user prices </w:t>
      </w:r>
      <w:r w:rsidR="0005652B" w:rsidRPr="00A33A6E">
        <w:rPr>
          <w:sz w:val="24"/>
          <w:szCs w:val="24"/>
        </w:rPr>
        <w:t>as a function of the</w:t>
      </w:r>
      <w:r w:rsidR="00956256" w:rsidRPr="00A33A6E">
        <w:rPr>
          <w:sz w:val="24"/>
          <w:szCs w:val="24"/>
        </w:rPr>
        <w:t xml:space="preserve"> expenditures </w:t>
      </w:r>
      <w:r w:rsidR="0005652B" w:rsidRPr="00A33A6E">
        <w:rPr>
          <w:sz w:val="24"/>
          <w:szCs w:val="24"/>
        </w:rPr>
        <w:t xml:space="preserve">in the importing country </w:t>
      </w:r>
      <w:r w:rsidR="00956256" w:rsidRPr="00A33A6E">
        <w:rPr>
          <w:sz w:val="24"/>
          <w:szCs w:val="24"/>
        </w:rPr>
        <w:t>and sales</w:t>
      </w:r>
      <w:r w:rsidR="0005652B" w:rsidRPr="00A33A6E">
        <w:rPr>
          <w:sz w:val="24"/>
          <w:szCs w:val="24"/>
        </w:rPr>
        <w:t xml:space="preserve"> in the exporting economy expressed as a share of world</w:t>
      </w:r>
      <w:r w:rsidR="00956256" w:rsidRPr="00A33A6E">
        <w:rPr>
          <w:sz w:val="24"/>
          <w:szCs w:val="24"/>
        </w:rPr>
        <w:t xml:space="preserve"> output (the frictionless value of trade) and a variable bilateral trade cost affected by trade costs with other partners (the distortion in trade induced by trade </w:t>
      </w:r>
      <w:r w:rsidR="00E2366A">
        <w:rPr>
          <w:sz w:val="24"/>
          <w:szCs w:val="24"/>
        </w:rPr>
        <w:t>frictions</w:t>
      </w:r>
      <w:r w:rsidR="00956256" w:rsidRPr="00A33A6E">
        <w:rPr>
          <w:sz w:val="24"/>
          <w:szCs w:val="24"/>
        </w:rPr>
        <w:t>).</w:t>
      </w:r>
    </w:p>
    <w:p w14:paraId="51659862" w14:textId="77777777" w:rsidR="00AA369D" w:rsidRPr="00A33A6E" w:rsidRDefault="00AA369D" w:rsidP="00496556">
      <w:pPr>
        <w:jc w:val="both"/>
        <w:rPr>
          <w:sz w:val="24"/>
          <w:szCs w:val="24"/>
        </w:rPr>
      </w:pPr>
      <w:r w:rsidRPr="00A33A6E">
        <w:rPr>
          <w:sz w:val="24"/>
          <w:szCs w:val="24"/>
        </w:rPr>
        <w:t xml:space="preserve">Assuming identical preferences or technologies across countries (i.e. a globally common constant elasticity of substitution </w:t>
      </w:r>
      <m:oMath>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k</m:t>
            </m:r>
          </m:sup>
        </m:sSup>
      </m:oMath>
      <w:r w:rsidR="00107FFD" w:rsidRPr="00A33A6E">
        <w:rPr>
          <w:sz w:val="24"/>
          <w:szCs w:val="24"/>
        </w:rPr>
        <w:t xml:space="preserve"> across varieties of services </w:t>
      </w:r>
      <w:r w:rsidR="00107FFD" w:rsidRPr="00A33A6E">
        <w:rPr>
          <w:i/>
          <w:sz w:val="24"/>
          <w:szCs w:val="24"/>
        </w:rPr>
        <w:t>k</w:t>
      </w:r>
      <w:r w:rsidRPr="00A33A6E">
        <w:rPr>
          <w:sz w:val="24"/>
          <w:szCs w:val="24"/>
        </w:rPr>
        <w:t>), the structural gravity equation is:</w:t>
      </w:r>
    </w:p>
    <w:p w14:paraId="4193BD18" w14:textId="77777777" w:rsidR="00773543" w:rsidRPr="00A33A6E" w:rsidRDefault="00AA1244" w:rsidP="00AA369D">
      <w:pPr>
        <w:jc w:val="right"/>
        <w:rPr>
          <w:sz w:val="24"/>
          <w:szCs w:val="24"/>
        </w:rPr>
      </w:pP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ij</m:t>
            </m:r>
          </m:sub>
          <m:sup>
            <m:r>
              <w:rPr>
                <w:rFonts w:ascii="Cambria Math" w:hAnsi="Cambria Math"/>
                <w:sz w:val="24"/>
                <w:szCs w:val="24"/>
              </w:rPr>
              <m:t>k</m:t>
            </m:r>
          </m:sup>
        </m:sSubSup>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i</m:t>
                </m:r>
              </m:sub>
              <m:sup>
                <m:r>
                  <w:rPr>
                    <w:rFonts w:ascii="Cambria Math" w:hAnsi="Cambria Math"/>
                    <w:sz w:val="24"/>
                    <w:szCs w:val="24"/>
                  </w:rPr>
                  <m:t>k</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j</m:t>
                </m:r>
              </m:sub>
              <m:sup>
                <m:r>
                  <w:rPr>
                    <w:rFonts w:ascii="Cambria Math" w:hAnsi="Cambria Math"/>
                    <w:sz w:val="24"/>
                    <w:szCs w:val="24"/>
                  </w:rPr>
                  <m:t>k</m:t>
                </m:r>
              </m:sup>
            </m:sSubSup>
          </m:num>
          <m:den>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k</m:t>
                </m:r>
              </m:sup>
            </m:sSup>
          </m:den>
        </m:f>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ij</m:t>
                        </m:r>
                      </m:sub>
                      <m:sup>
                        <m:r>
                          <w:rPr>
                            <w:rFonts w:ascii="Cambria Math" w:hAnsi="Cambria Math"/>
                            <w:sz w:val="24"/>
                            <w:szCs w:val="24"/>
                          </w:rPr>
                          <m:t>k</m:t>
                        </m:r>
                      </m:sup>
                    </m:sSubSup>
                  </m:num>
                  <m:den>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k</m:t>
                        </m:r>
                      </m:sup>
                    </m:sSubSup>
                    <m:r>
                      <w:rPr>
                        <w:rFonts w:ascii="Cambria Math" w:hAnsi="Cambria Math"/>
                        <w:sz w:val="24"/>
                        <w:szCs w:val="24"/>
                      </w:rPr>
                      <m:t>.</m:t>
                    </m:r>
                    <m:sSubSup>
                      <m:sSubSupPr>
                        <m:ctrlPr>
                          <w:rPr>
                            <w:rFonts w:ascii="Cambria Math" w:hAnsi="Cambria Math"/>
                            <w:i/>
                            <w:sz w:val="24"/>
                            <w:szCs w:val="24"/>
                          </w:rPr>
                        </m:ctrlPr>
                      </m:sSubSupPr>
                      <m:e>
                        <m:r>
                          <m:rPr>
                            <m:sty m:val="p"/>
                          </m:rPr>
                          <w:rPr>
                            <w:rFonts w:ascii="Cambria Math" w:hAnsi="Cambria Math"/>
                            <w:sz w:val="24"/>
                            <w:szCs w:val="24"/>
                          </w:rPr>
                          <m:t>Π</m:t>
                        </m:r>
                      </m:e>
                      <m:sub>
                        <m:r>
                          <w:rPr>
                            <w:rFonts w:ascii="Cambria Math" w:hAnsi="Cambria Math"/>
                            <w:sz w:val="24"/>
                            <w:szCs w:val="24"/>
                          </w:rPr>
                          <m:t>i</m:t>
                        </m:r>
                      </m:sub>
                      <m:sup>
                        <m:r>
                          <w:rPr>
                            <w:rFonts w:ascii="Cambria Math" w:hAnsi="Cambria Math"/>
                            <w:sz w:val="24"/>
                            <w:szCs w:val="24"/>
                          </w:rPr>
                          <m:t>k</m:t>
                        </m:r>
                      </m:sup>
                    </m:sSubSup>
                  </m:den>
                </m:f>
              </m:e>
            </m:d>
          </m:e>
          <m: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k</m:t>
                </m:r>
              </m:sup>
            </m:sSup>
          </m:sup>
        </m:sSup>
      </m:oMath>
      <w:r w:rsidR="00AA369D" w:rsidRPr="00A33A6E">
        <w:rPr>
          <w:sz w:val="24"/>
          <w:szCs w:val="24"/>
        </w:rPr>
        <w:t xml:space="preserve"> </w:t>
      </w:r>
      <w:r w:rsidR="00AA369D" w:rsidRPr="00A33A6E">
        <w:rPr>
          <w:sz w:val="24"/>
          <w:szCs w:val="24"/>
        </w:rPr>
        <w:tab/>
      </w:r>
      <w:r w:rsidR="00AA369D" w:rsidRPr="00A33A6E">
        <w:rPr>
          <w:sz w:val="24"/>
          <w:szCs w:val="24"/>
        </w:rPr>
        <w:tab/>
      </w:r>
      <w:r w:rsidR="00AA369D" w:rsidRPr="00A33A6E">
        <w:rPr>
          <w:sz w:val="24"/>
          <w:szCs w:val="24"/>
        </w:rPr>
        <w:tab/>
      </w:r>
      <w:r w:rsidR="00AA369D" w:rsidRPr="00A33A6E">
        <w:rPr>
          <w:sz w:val="24"/>
          <w:szCs w:val="24"/>
        </w:rPr>
        <w:tab/>
      </w:r>
      <w:r w:rsidR="00AA369D" w:rsidRPr="00A33A6E">
        <w:rPr>
          <w:sz w:val="24"/>
          <w:szCs w:val="24"/>
        </w:rPr>
        <w:tab/>
        <w:t>(1)</w:t>
      </w:r>
    </w:p>
    <w:p w14:paraId="5BCA2539" w14:textId="77777777" w:rsidR="00AA369D" w:rsidRPr="00A33A6E" w:rsidRDefault="00AA369D" w:rsidP="00AA369D">
      <w:pPr>
        <w:jc w:val="both"/>
        <w:rPr>
          <w:sz w:val="24"/>
          <w:szCs w:val="24"/>
        </w:rPr>
      </w:pPr>
      <w:r w:rsidRPr="00A33A6E">
        <w:rPr>
          <w:sz w:val="24"/>
          <w:szCs w:val="24"/>
        </w:rPr>
        <w:lastRenderedPageBreak/>
        <w:t xml:space="preserve">where </w:t>
      </w: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ij</m:t>
            </m:r>
          </m:sub>
          <m:sup>
            <m:r>
              <w:rPr>
                <w:rFonts w:ascii="Cambria Math" w:hAnsi="Cambria Math"/>
                <w:sz w:val="24"/>
                <w:szCs w:val="24"/>
              </w:rPr>
              <m:t>k</m:t>
            </m:r>
          </m:sup>
        </m:sSubSup>
      </m:oMath>
      <w:r w:rsidR="001858A6" w:rsidRPr="00A33A6E">
        <w:rPr>
          <w:sz w:val="24"/>
          <w:szCs w:val="24"/>
        </w:rPr>
        <w:t xml:space="preserve"> is the value of exports of service </w:t>
      </w:r>
      <w:r w:rsidR="001858A6" w:rsidRPr="00A33A6E">
        <w:rPr>
          <w:i/>
          <w:sz w:val="24"/>
          <w:szCs w:val="24"/>
        </w:rPr>
        <w:t xml:space="preserve">k </w:t>
      </w:r>
      <w:r w:rsidR="001858A6" w:rsidRPr="00A33A6E">
        <w:rPr>
          <w:sz w:val="24"/>
          <w:szCs w:val="24"/>
        </w:rPr>
        <w:t xml:space="preserve">from country </w:t>
      </w:r>
      <w:r w:rsidR="001858A6" w:rsidRPr="00A33A6E">
        <w:rPr>
          <w:i/>
          <w:sz w:val="24"/>
          <w:szCs w:val="24"/>
        </w:rPr>
        <w:t>i</w:t>
      </w:r>
      <w:r w:rsidR="001858A6" w:rsidRPr="00A33A6E">
        <w:rPr>
          <w:sz w:val="24"/>
          <w:szCs w:val="24"/>
        </w:rPr>
        <w:t xml:space="preserve"> to country </w:t>
      </w:r>
      <w:r w:rsidR="001858A6" w:rsidRPr="00A33A6E">
        <w:rPr>
          <w:i/>
          <w:sz w:val="24"/>
          <w:szCs w:val="24"/>
        </w:rPr>
        <w:t>j</w:t>
      </w:r>
      <w:r w:rsidR="001858A6" w:rsidRPr="00A33A6E">
        <w:rPr>
          <w:sz w:val="24"/>
          <w:szCs w:val="24"/>
        </w:rPr>
        <w:t xml:space="preserve"> at destination prices, </w:t>
      </w:r>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i</m:t>
            </m:r>
          </m:sub>
          <m:sup>
            <m:r>
              <w:rPr>
                <w:rFonts w:ascii="Cambria Math" w:hAnsi="Cambria Math"/>
                <w:sz w:val="24"/>
                <w:szCs w:val="24"/>
              </w:rPr>
              <m:t>k</m:t>
            </m:r>
          </m:sup>
        </m:sSubSup>
      </m:oMath>
      <w:r w:rsidR="001858A6" w:rsidRPr="00A33A6E">
        <w:rPr>
          <w:sz w:val="24"/>
          <w:szCs w:val="24"/>
        </w:rPr>
        <w:t xml:space="preserve">the sales of service </w:t>
      </w:r>
      <w:r w:rsidR="001858A6" w:rsidRPr="00A33A6E">
        <w:rPr>
          <w:i/>
          <w:sz w:val="24"/>
          <w:szCs w:val="24"/>
        </w:rPr>
        <w:t>k</w:t>
      </w:r>
      <w:r w:rsidR="001858A6" w:rsidRPr="00A33A6E">
        <w:rPr>
          <w:sz w:val="24"/>
          <w:szCs w:val="24"/>
        </w:rPr>
        <w:t xml:space="preserve"> (to all destinations, at destination prices) in country </w:t>
      </w:r>
      <w:r w:rsidR="001858A6" w:rsidRPr="00A33A6E">
        <w:rPr>
          <w:i/>
          <w:sz w:val="24"/>
          <w:szCs w:val="24"/>
        </w:rPr>
        <w:t>i</w:t>
      </w:r>
      <w:r w:rsidR="001858A6" w:rsidRPr="00A33A6E">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j</m:t>
            </m:r>
          </m:sub>
          <m:sup>
            <m:r>
              <w:rPr>
                <w:rFonts w:ascii="Cambria Math" w:hAnsi="Cambria Math"/>
                <w:sz w:val="24"/>
                <w:szCs w:val="24"/>
              </w:rPr>
              <m:t>k</m:t>
            </m:r>
          </m:sup>
        </m:sSubSup>
      </m:oMath>
      <w:r w:rsidR="005D5574" w:rsidRPr="00A33A6E">
        <w:rPr>
          <w:sz w:val="24"/>
          <w:szCs w:val="24"/>
        </w:rPr>
        <w:t xml:space="preserve"> the expenditures on service </w:t>
      </w:r>
      <w:r w:rsidR="005D5574" w:rsidRPr="00A33A6E">
        <w:rPr>
          <w:i/>
          <w:sz w:val="24"/>
          <w:szCs w:val="24"/>
        </w:rPr>
        <w:t>k</w:t>
      </w:r>
      <w:r w:rsidR="005D5574" w:rsidRPr="00A33A6E">
        <w:rPr>
          <w:sz w:val="24"/>
          <w:szCs w:val="24"/>
        </w:rPr>
        <w:t xml:space="preserve"> in country </w:t>
      </w:r>
      <w:r w:rsidR="005D5574" w:rsidRPr="00A33A6E">
        <w:rPr>
          <w:i/>
          <w:sz w:val="24"/>
          <w:szCs w:val="24"/>
        </w:rPr>
        <w:t>j</w:t>
      </w:r>
      <w:r w:rsidR="005D5574" w:rsidRPr="00A33A6E">
        <w:rPr>
          <w:sz w:val="24"/>
          <w:szCs w:val="24"/>
        </w:rPr>
        <w:t xml:space="preserve"> (from all origins), </w:t>
      </w:r>
      <w:r w:rsidR="001858A6" w:rsidRPr="00A33A6E">
        <w:rPr>
          <w:sz w:val="24"/>
          <w:szCs w:val="24"/>
        </w:rPr>
        <w:t xml:space="preserve">and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k</m:t>
            </m:r>
          </m:sup>
        </m:sSup>
      </m:oMath>
      <w:r w:rsidR="001858A6" w:rsidRPr="00A33A6E">
        <w:rPr>
          <w:sz w:val="24"/>
          <w:szCs w:val="24"/>
        </w:rPr>
        <w:t xml:space="preserve">is world output of service </w:t>
      </w:r>
      <w:r w:rsidR="001858A6" w:rsidRPr="00A33A6E">
        <w:rPr>
          <w:i/>
          <w:sz w:val="24"/>
          <w:szCs w:val="24"/>
        </w:rPr>
        <w:t>k</w:t>
      </w:r>
      <w:r w:rsidR="001858A6" w:rsidRPr="00A33A6E">
        <w:rPr>
          <w:sz w:val="24"/>
          <w:szCs w:val="24"/>
        </w:rPr>
        <w:t xml:space="preserve"> (the sum of all sales</w:t>
      </w:r>
      <w:r w:rsidR="005D5574">
        <w:rPr>
          <w:sz w:val="24"/>
          <w:szCs w:val="24"/>
        </w:rPr>
        <w:t>/expenditures</w:t>
      </w:r>
      <w:r w:rsidR="001858A6" w:rsidRPr="00A33A6E">
        <w:rPr>
          <w:sz w:val="24"/>
          <w:szCs w:val="24"/>
        </w:rPr>
        <w:t xml:space="preserve"> in all countries) . </w:t>
      </w:r>
      <m:oMath>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ij</m:t>
            </m:r>
          </m:sub>
          <m:sup>
            <m:r>
              <w:rPr>
                <w:rFonts w:ascii="Cambria Math" w:hAnsi="Cambria Math"/>
                <w:sz w:val="24"/>
                <w:szCs w:val="24"/>
              </w:rPr>
              <m:t>k</m:t>
            </m:r>
          </m:sup>
        </m:sSubSup>
        <m:r>
          <w:rPr>
            <w:rFonts w:ascii="Cambria Math" w:hAnsi="Cambria Math"/>
            <w:sz w:val="24"/>
            <w:szCs w:val="24"/>
          </w:rPr>
          <m:t>≥1</m:t>
        </m:r>
      </m:oMath>
      <w:r w:rsidR="00107FFD" w:rsidRPr="00A33A6E">
        <w:rPr>
          <w:sz w:val="24"/>
          <w:szCs w:val="24"/>
        </w:rPr>
        <w:t xml:space="preserve"> is a variable bilateral trade cost between country </w:t>
      </w:r>
      <w:r w:rsidR="00107FFD" w:rsidRPr="00A33A6E">
        <w:rPr>
          <w:i/>
          <w:sz w:val="24"/>
          <w:szCs w:val="24"/>
        </w:rPr>
        <w:t xml:space="preserve">i </w:t>
      </w:r>
      <w:r w:rsidR="00107FFD" w:rsidRPr="00A33A6E">
        <w:rPr>
          <w:sz w:val="24"/>
          <w:szCs w:val="24"/>
        </w:rPr>
        <w:t xml:space="preserve">and country </w:t>
      </w:r>
      <w:r w:rsidR="00107FFD" w:rsidRPr="00A33A6E">
        <w:rPr>
          <w:i/>
          <w:sz w:val="24"/>
          <w:szCs w:val="24"/>
        </w:rPr>
        <w:t>j</w:t>
      </w:r>
      <w:r w:rsidR="00107FFD" w:rsidRPr="00A33A6E">
        <w:rPr>
          <w:sz w:val="24"/>
          <w:szCs w:val="24"/>
        </w:rPr>
        <w:t xml:space="preserve"> for service </w:t>
      </w:r>
      <w:r w:rsidR="00107FFD" w:rsidRPr="00A33A6E">
        <w:rPr>
          <w:i/>
          <w:sz w:val="24"/>
          <w:szCs w:val="24"/>
        </w:rPr>
        <w:t xml:space="preserve">k </w:t>
      </w:r>
      <w:r w:rsidR="00107FFD" w:rsidRPr="00A33A6E">
        <w:rPr>
          <w:sz w:val="24"/>
          <w:szCs w:val="24"/>
        </w:rPr>
        <w:t>but bilateral trade is also affected by trade costs with other partners, summarised in two multilateral resistance terms:</w:t>
      </w:r>
    </w:p>
    <w:p w14:paraId="7502DDEF" w14:textId="77777777" w:rsidR="00107FFD" w:rsidRPr="00A33A6E" w:rsidRDefault="00AA1244" w:rsidP="00107FFD">
      <w:pPr>
        <w:jc w:val="right"/>
        <w:rPr>
          <w:sz w:val="24"/>
          <w:szCs w:val="24"/>
        </w:rPr>
      </w:pPr>
      <m:oMath>
        <m:sSup>
          <m:sSupPr>
            <m:ctrlPr>
              <w:rPr>
                <w:rFonts w:ascii="Cambria Math" w:hAnsi="Cambria Math"/>
                <w:i/>
                <w:sz w:val="24"/>
                <w:szCs w:val="24"/>
              </w:rPr>
            </m:ctrlPr>
          </m:sSupPr>
          <m:e>
            <m:d>
              <m:dPr>
                <m:ctrlPr>
                  <w:rPr>
                    <w:rFonts w:ascii="Cambria Math" w:hAnsi="Cambria Math"/>
                    <w:i/>
                    <w:sz w:val="24"/>
                    <w:szCs w:val="24"/>
                  </w:rPr>
                </m:ctrlPr>
              </m:dPr>
              <m:e>
                <m:sSubSup>
                  <m:sSubSupPr>
                    <m:ctrlPr>
                      <w:rPr>
                        <w:rFonts w:ascii="Cambria Math" w:hAnsi="Cambria Math"/>
                        <w:i/>
                        <w:sz w:val="24"/>
                        <w:szCs w:val="24"/>
                      </w:rPr>
                    </m:ctrlPr>
                  </m:sSubSupPr>
                  <m:e>
                    <m:r>
                      <m:rPr>
                        <m:sty m:val="p"/>
                      </m:rPr>
                      <w:rPr>
                        <w:rFonts w:ascii="Cambria Math" w:hAnsi="Cambria Math"/>
                        <w:sz w:val="24"/>
                        <w:szCs w:val="24"/>
                      </w:rPr>
                      <m:t>Π</m:t>
                    </m:r>
                  </m:e>
                  <m:sub>
                    <m:r>
                      <w:rPr>
                        <w:rFonts w:ascii="Cambria Math" w:hAnsi="Cambria Math"/>
                        <w:sz w:val="24"/>
                        <w:szCs w:val="24"/>
                      </w:rPr>
                      <m:t>i</m:t>
                    </m:r>
                  </m:sub>
                  <m:sup>
                    <m:r>
                      <w:rPr>
                        <w:rFonts w:ascii="Cambria Math" w:hAnsi="Cambria Math"/>
                        <w:sz w:val="24"/>
                        <w:szCs w:val="24"/>
                      </w:rPr>
                      <m:t>k</m:t>
                    </m:r>
                  </m:sup>
                </m:sSubSup>
              </m:e>
            </m:d>
          </m:e>
          <m: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k</m:t>
                </m:r>
              </m:sup>
            </m:sSup>
          </m:sup>
        </m:sSup>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j</m:t>
            </m:r>
          </m:sub>
          <m:sup/>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ij</m:t>
                            </m:r>
                          </m:sub>
                          <m:sup>
                            <m:r>
                              <w:rPr>
                                <w:rFonts w:ascii="Cambria Math" w:hAnsi="Cambria Math"/>
                                <w:sz w:val="24"/>
                                <w:szCs w:val="24"/>
                              </w:rPr>
                              <m:t>k</m:t>
                            </m:r>
                          </m:sup>
                        </m:sSubSup>
                      </m:num>
                      <m:den>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k</m:t>
                            </m:r>
                          </m:sup>
                        </m:sSubSup>
                      </m:den>
                    </m:f>
                  </m:e>
                </m:d>
              </m:e>
              <m: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k</m:t>
                    </m:r>
                  </m:sup>
                </m:sSup>
              </m:sup>
            </m:sSup>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j</m:t>
                    </m:r>
                  </m:sub>
                  <m:sup>
                    <m:r>
                      <w:rPr>
                        <w:rFonts w:ascii="Cambria Math" w:hAnsi="Cambria Math"/>
                        <w:sz w:val="24"/>
                        <w:szCs w:val="24"/>
                      </w:rPr>
                      <m:t>k</m:t>
                    </m:r>
                  </m:sup>
                </m:sSubSup>
              </m:num>
              <m:den>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k</m:t>
                    </m:r>
                  </m:sup>
                </m:sSup>
              </m:den>
            </m:f>
          </m:e>
        </m:nary>
      </m:oMath>
      <w:r w:rsidR="00107FFD" w:rsidRPr="00A33A6E">
        <w:rPr>
          <w:sz w:val="24"/>
          <w:szCs w:val="24"/>
        </w:rPr>
        <w:t xml:space="preserve"> </w:t>
      </w:r>
      <w:r w:rsidR="00107FFD" w:rsidRPr="00A33A6E">
        <w:rPr>
          <w:sz w:val="24"/>
          <w:szCs w:val="24"/>
        </w:rPr>
        <w:tab/>
      </w:r>
      <w:r w:rsidR="00107FFD" w:rsidRPr="00A33A6E">
        <w:rPr>
          <w:sz w:val="24"/>
          <w:szCs w:val="24"/>
        </w:rPr>
        <w:tab/>
      </w:r>
      <w:r w:rsidR="00107FFD" w:rsidRPr="00A33A6E">
        <w:rPr>
          <w:sz w:val="24"/>
          <w:szCs w:val="24"/>
        </w:rPr>
        <w:tab/>
      </w:r>
      <w:r w:rsidR="00107FFD" w:rsidRPr="00A33A6E">
        <w:rPr>
          <w:sz w:val="24"/>
          <w:szCs w:val="24"/>
        </w:rPr>
        <w:tab/>
      </w:r>
      <w:r w:rsidR="00107FFD" w:rsidRPr="00A33A6E">
        <w:rPr>
          <w:sz w:val="24"/>
          <w:szCs w:val="24"/>
        </w:rPr>
        <w:tab/>
        <w:t>(2)</w:t>
      </w:r>
    </w:p>
    <w:p w14:paraId="0A091F0D" w14:textId="77777777" w:rsidR="000267B5" w:rsidRPr="00A33A6E" w:rsidRDefault="00AA1244" w:rsidP="000267B5">
      <w:pPr>
        <w:jc w:val="right"/>
        <w:rPr>
          <w:sz w:val="24"/>
          <w:szCs w:val="24"/>
        </w:rPr>
      </w:pPr>
      <m:oMath>
        <m:sSup>
          <m:sSupPr>
            <m:ctrlPr>
              <w:rPr>
                <w:rFonts w:ascii="Cambria Math" w:hAnsi="Cambria Math"/>
                <w:i/>
                <w:sz w:val="24"/>
                <w:szCs w:val="24"/>
              </w:rPr>
            </m:ctrlPr>
          </m:sSupPr>
          <m:e>
            <m:d>
              <m:dPr>
                <m:ctrlPr>
                  <w:rPr>
                    <w:rFonts w:ascii="Cambria Math" w:hAnsi="Cambria Math"/>
                    <w:i/>
                    <w:sz w:val="24"/>
                    <w:szCs w:val="24"/>
                  </w:rPr>
                </m:ctrlPr>
              </m:dPr>
              <m:e>
                <m:sSubSup>
                  <m:sSubSupPr>
                    <m:ctrlPr>
                      <w:rPr>
                        <w:rFonts w:ascii="Cambria Math" w:hAnsi="Cambria Math"/>
                        <w:i/>
                        <w:sz w:val="24"/>
                        <w:szCs w:val="24"/>
                      </w:rPr>
                    </m:ctrlPr>
                  </m:sSubSupPr>
                  <m:e>
                    <m:r>
                      <m:rPr>
                        <m:sty m:val="p"/>
                      </m:rP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k</m:t>
                    </m:r>
                  </m:sup>
                </m:sSubSup>
              </m:e>
            </m:d>
          </m:e>
          <m: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k</m:t>
                </m:r>
              </m:sup>
            </m:sSup>
          </m:sup>
        </m:sSup>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ij</m:t>
                            </m:r>
                          </m:sub>
                          <m:sup>
                            <m:r>
                              <w:rPr>
                                <w:rFonts w:ascii="Cambria Math" w:hAnsi="Cambria Math"/>
                                <w:sz w:val="24"/>
                                <w:szCs w:val="24"/>
                              </w:rPr>
                              <m:t>k</m:t>
                            </m:r>
                          </m:sup>
                        </m:sSubSup>
                      </m:num>
                      <m:den>
                        <m:sSubSup>
                          <m:sSubSupPr>
                            <m:ctrlPr>
                              <w:rPr>
                                <w:rFonts w:ascii="Cambria Math" w:hAnsi="Cambria Math"/>
                                <w:i/>
                                <w:sz w:val="24"/>
                                <w:szCs w:val="24"/>
                              </w:rPr>
                            </m:ctrlPr>
                          </m:sSubSupPr>
                          <m:e>
                            <m:r>
                              <m:rPr>
                                <m:sty m:val="p"/>
                              </m:rPr>
                              <w:rPr>
                                <w:rFonts w:ascii="Cambria Math" w:hAnsi="Cambria Math"/>
                                <w:sz w:val="24"/>
                                <w:szCs w:val="24"/>
                              </w:rPr>
                              <m:t>Π</m:t>
                            </m:r>
                          </m:e>
                          <m:sub>
                            <m:r>
                              <w:rPr>
                                <w:rFonts w:ascii="Cambria Math" w:hAnsi="Cambria Math"/>
                                <w:sz w:val="24"/>
                                <w:szCs w:val="24"/>
                              </w:rPr>
                              <m:t>i</m:t>
                            </m:r>
                          </m:sub>
                          <m:sup>
                            <m:r>
                              <w:rPr>
                                <w:rFonts w:ascii="Cambria Math" w:hAnsi="Cambria Math"/>
                                <w:sz w:val="24"/>
                                <w:szCs w:val="24"/>
                              </w:rPr>
                              <m:t>k</m:t>
                            </m:r>
                          </m:sup>
                        </m:sSubSup>
                      </m:den>
                    </m:f>
                  </m:e>
                </m:d>
              </m:e>
              <m: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k</m:t>
                    </m:r>
                  </m:sup>
                </m:sSup>
              </m:sup>
            </m:sSup>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i</m:t>
                    </m:r>
                  </m:sub>
                  <m:sup>
                    <m:r>
                      <w:rPr>
                        <w:rFonts w:ascii="Cambria Math" w:hAnsi="Cambria Math"/>
                        <w:sz w:val="24"/>
                        <w:szCs w:val="24"/>
                      </w:rPr>
                      <m:t>k</m:t>
                    </m:r>
                  </m:sup>
                </m:sSubSup>
              </m:num>
              <m:den>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k</m:t>
                    </m:r>
                  </m:sup>
                </m:sSup>
              </m:den>
            </m:f>
          </m:e>
        </m:nary>
      </m:oMath>
      <w:r w:rsidR="000267B5" w:rsidRPr="00A33A6E">
        <w:rPr>
          <w:sz w:val="24"/>
          <w:szCs w:val="24"/>
        </w:rPr>
        <w:t xml:space="preserve"> </w:t>
      </w:r>
      <w:r w:rsidR="000267B5" w:rsidRPr="00A33A6E">
        <w:rPr>
          <w:sz w:val="24"/>
          <w:szCs w:val="24"/>
        </w:rPr>
        <w:tab/>
      </w:r>
      <w:r w:rsidR="000267B5" w:rsidRPr="00A33A6E">
        <w:rPr>
          <w:sz w:val="24"/>
          <w:szCs w:val="24"/>
        </w:rPr>
        <w:tab/>
      </w:r>
      <w:r w:rsidR="000267B5" w:rsidRPr="00A33A6E">
        <w:rPr>
          <w:sz w:val="24"/>
          <w:szCs w:val="24"/>
        </w:rPr>
        <w:tab/>
      </w:r>
      <w:r w:rsidR="000267B5" w:rsidRPr="00A33A6E">
        <w:rPr>
          <w:sz w:val="24"/>
          <w:szCs w:val="24"/>
        </w:rPr>
        <w:tab/>
      </w:r>
      <w:r w:rsidR="000267B5" w:rsidRPr="00A33A6E">
        <w:rPr>
          <w:sz w:val="24"/>
          <w:szCs w:val="24"/>
        </w:rPr>
        <w:tab/>
        <w:t>(</w:t>
      </w:r>
      <w:r w:rsidR="00BA5F49" w:rsidRPr="00A33A6E">
        <w:rPr>
          <w:sz w:val="24"/>
          <w:szCs w:val="24"/>
        </w:rPr>
        <w:t>3</w:t>
      </w:r>
      <w:r w:rsidR="000267B5" w:rsidRPr="00A33A6E">
        <w:rPr>
          <w:sz w:val="24"/>
          <w:szCs w:val="24"/>
        </w:rPr>
        <w:t>)</w:t>
      </w:r>
    </w:p>
    <w:p w14:paraId="1AF8E7B4" w14:textId="67507E89" w:rsidR="00107FFD" w:rsidRPr="00A33A6E" w:rsidRDefault="00AA1244" w:rsidP="00AA369D">
      <w:pPr>
        <w:jc w:val="both"/>
        <w:rPr>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Π</m:t>
            </m:r>
          </m:e>
          <m:sub>
            <m:r>
              <w:rPr>
                <w:rFonts w:ascii="Cambria Math" w:hAnsi="Cambria Math"/>
                <w:sz w:val="24"/>
                <w:szCs w:val="24"/>
              </w:rPr>
              <m:t>i</m:t>
            </m:r>
          </m:sub>
          <m:sup>
            <m:r>
              <w:rPr>
                <w:rFonts w:ascii="Cambria Math" w:hAnsi="Cambria Math"/>
                <w:sz w:val="24"/>
                <w:szCs w:val="24"/>
              </w:rPr>
              <m:t>k</m:t>
            </m:r>
          </m:sup>
        </m:sSubSup>
      </m:oMath>
      <w:r w:rsidR="000267B5" w:rsidRPr="00A33A6E">
        <w:rPr>
          <w:sz w:val="24"/>
          <w:szCs w:val="24"/>
        </w:rPr>
        <w:t xml:space="preserve"> is the outward multilateral resistance and aggregates the incidence of all bilateral trade costs borne by the producers of service </w:t>
      </w:r>
      <w:r w:rsidR="000267B5" w:rsidRPr="00A33A6E">
        <w:rPr>
          <w:i/>
          <w:sz w:val="24"/>
          <w:szCs w:val="24"/>
        </w:rPr>
        <w:t xml:space="preserve">k </w:t>
      </w:r>
      <w:r w:rsidR="000267B5" w:rsidRPr="00A33A6E">
        <w:rPr>
          <w:sz w:val="24"/>
          <w:szCs w:val="24"/>
        </w:rPr>
        <w:t xml:space="preserve">in country </w:t>
      </w:r>
      <w:r w:rsidR="000267B5" w:rsidRPr="00A33A6E">
        <w:rPr>
          <w:i/>
          <w:sz w:val="24"/>
          <w:szCs w:val="24"/>
        </w:rPr>
        <w:t xml:space="preserve">i. </w:t>
      </w:r>
      <m:oMath>
        <m:sSubSup>
          <m:sSubSupPr>
            <m:ctrlPr>
              <w:rPr>
                <w:rFonts w:ascii="Cambria Math" w:hAnsi="Cambria Math"/>
                <w:i/>
                <w:sz w:val="24"/>
                <w:szCs w:val="24"/>
              </w:rPr>
            </m:ctrlPr>
          </m:sSubSupPr>
          <m:e>
            <m:r>
              <m:rPr>
                <m:sty m:val="p"/>
              </m:rP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k</m:t>
            </m:r>
          </m:sup>
        </m:sSubSup>
      </m:oMath>
      <w:r w:rsidR="000267B5" w:rsidRPr="00A33A6E">
        <w:rPr>
          <w:i/>
          <w:sz w:val="24"/>
          <w:szCs w:val="24"/>
        </w:rPr>
        <w:t xml:space="preserve"> </w:t>
      </w:r>
      <w:r w:rsidR="000267B5" w:rsidRPr="00A33A6E">
        <w:rPr>
          <w:sz w:val="24"/>
          <w:szCs w:val="24"/>
        </w:rPr>
        <w:t xml:space="preserve">is the inward multilateral resistance and accounts for the incidence of all bilateral trade costs on buyers of service </w:t>
      </w:r>
      <w:r w:rsidR="000267B5" w:rsidRPr="00A33A6E">
        <w:rPr>
          <w:i/>
          <w:sz w:val="24"/>
          <w:szCs w:val="24"/>
        </w:rPr>
        <w:t xml:space="preserve">k </w:t>
      </w:r>
      <w:r w:rsidR="000267B5" w:rsidRPr="00A33A6E">
        <w:rPr>
          <w:sz w:val="24"/>
          <w:szCs w:val="24"/>
        </w:rPr>
        <w:t xml:space="preserve">in country </w:t>
      </w:r>
      <w:r w:rsidR="000267B5" w:rsidRPr="00A33A6E">
        <w:rPr>
          <w:i/>
          <w:sz w:val="24"/>
          <w:szCs w:val="24"/>
        </w:rPr>
        <w:t>j.</w:t>
      </w:r>
      <w:r w:rsidR="000267B5" w:rsidRPr="00A33A6E">
        <w:rPr>
          <w:sz w:val="24"/>
          <w:szCs w:val="24"/>
        </w:rPr>
        <w:t xml:space="preserve"> These two multilateral resistance terms </w:t>
      </w:r>
      <w:r w:rsidR="00C147CC">
        <w:rPr>
          <w:sz w:val="24"/>
          <w:szCs w:val="24"/>
        </w:rPr>
        <w:t xml:space="preserve">account for the fact that it is relative prices, and thus relative trade costs, that matter for the determination of the global pattern of trade and production. However, they </w:t>
      </w:r>
      <w:r w:rsidR="000267B5" w:rsidRPr="00A33A6E">
        <w:rPr>
          <w:sz w:val="24"/>
          <w:szCs w:val="24"/>
        </w:rPr>
        <w:t>are unfortunately not directly observable.</w:t>
      </w:r>
    </w:p>
    <w:p w14:paraId="59DD9DC9" w14:textId="2DF6921F" w:rsidR="00BA5F49" w:rsidRDefault="00BA5F49" w:rsidP="00AA369D">
      <w:pPr>
        <w:jc w:val="both"/>
        <w:rPr>
          <w:sz w:val="24"/>
          <w:szCs w:val="24"/>
        </w:rPr>
      </w:pPr>
      <w:r w:rsidRPr="00A33A6E">
        <w:rPr>
          <w:sz w:val="24"/>
          <w:szCs w:val="24"/>
        </w:rPr>
        <w:t>What Novy (2013) sugg</w:t>
      </w:r>
      <w:r w:rsidR="00AD101A" w:rsidRPr="00A33A6E">
        <w:rPr>
          <w:sz w:val="24"/>
          <w:szCs w:val="24"/>
        </w:rPr>
        <w:t>ests, building on Head and Ries</w:t>
      </w:r>
      <w:r w:rsidRPr="00A33A6E">
        <w:rPr>
          <w:sz w:val="24"/>
          <w:szCs w:val="24"/>
        </w:rPr>
        <w:t xml:space="preserve"> (2001), is to </w:t>
      </w:r>
      <w:r w:rsidR="00A33A6E" w:rsidRPr="00A33A6E">
        <w:rPr>
          <w:sz w:val="24"/>
          <w:szCs w:val="24"/>
        </w:rPr>
        <w:t>calculate trade costs in a way that does not require information on multilateral resistance</w:t>
      </w:r>
      <w:bookmarkStart w:id="0" w:name="_GoBack"/>
      <w:bookmarkEnd w:id="0"/>
      <w:r w:rsidR="00C147CC">
        <w:rPr>
          <w:sz w:val="24"/>
          <w:szCs w:val="24"/>
        </w:rPr>
        <w:t>, or the relative levels of tariffs and other measures around the world</w:t>
      </w:r>
      <w:r w:rsidR="00A33A6E" w:rsidRPr="00A33A6E">
        <w:rPr>
          <w:sz w:val="24"/>
          <w:szCs w:val="24"/>
        </w:rPr>
        <w:t xml:space="preserve">. The trick is to multiply gravity equation (1) describing trade flows from </w:t>
      </w:r>
      <w:r w:rsidR="00A33A6E" w:rsidRPr="00A33A6E">
        <w:rPr>
          <w:i/>
          <w:sz w:val="24"/>
          <w:szCs w:val="24"/>
        </w:rPr>
        <w:t xml:space="preserve">i </w:t>
      </w:r>
      <w:r w:rsidR="00A33A6E" w:rsidRPr="00A33A6E">
        <w:rPr>
          <w:sz w:val="24"/>
          <w:szCs w:val="24"/>
        </w:rPr>
        <w:t xml:space="preserve">to </w:t>
      </w:r>
      <w:r w:rsidR="00A33A6E" w:rsidRPr="00A33A6E">
        <w:rPr>
          <w:i/>
          <w:sz w:val="24"/>
          <w:szCs w:val="24"/>
        </w:rPr>
        <w:t xml:space="preserve">j </w:t>
      </w:r>
      <w:r w:rsidR="00A33A6E" w:rsidRPr="00A33A6E">
        <w:rPr>
          <w:sz w:val="24"/>
          <w:szCs w:val="24"/>
        </w:rPr>
        <w:t xml:space="preserve">by the corresponding equation for trade from </w:t>
      </w:r>
      <w:r w:rsidR="00A33A6E" w:rsidRPr="00A33A6E">
        <w:rPr>
          <w:i/>
          <w:sz w:val="24"/>
          <w:szCs w:val="24"/>
        </w:rPr>
        <w:t>j</w:t>
      </w:r>
      <w:r w:rsidR="00A33A6E" w:rsidRPr="00A33A6E">
        <w:rPr>
          <w:sz w:val="24"/>
          <w:szCs w:val="24"/>
        </w:rPr>
        <w:t xml:space="preserve"> to </w:t>
      </w:r>
      <w:r w:rsidR="00A33A6E" w:rsidRPr="00A33A6E">
        <w:rPr>
          <w:i/>
          <w:sz w:val="24"/>
          <w:szCs w:val="24"/>
        </w:rPr>
        <w:t>i</w:t>
      </w:r>
      <w:r w:rsidR="00A33A6E" w:rsidRPr="00A33A6E">
        <w:rPr>
          <w:sz w:val="24"/>
          <w:szCs w:val="24"/>
        </w:rPr>
        <w:t>. What is obtained is</w:t>
      </w:r>
      <w:r w:rsidR="005D5574">
        <w:rPr>
          <w:sz w:val="24"/>
          <w:szCs w:val="24"/>
        </w:rPr>
        <w:t>:</w:t>
      </w:r>
    </w:p>
    <w:p w14:paraId="25FB071B" w14:textId="77777777" w:rsidR="005D5574" w:rsidRDefault="00AA1244" w:rsidP="00995A7D">
      <w:pPr>
        <w:jc w:val="right"/>
        <w:rPr>
          <w:sz w:val="24"/>
        </w:rPr>
      </w:pPr>
      <m:oMath>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sub>
          <m:sup>
            <m:r>
              <w:rPr>
                <w:rFonts w:ascii="Cambria Math" w:hAnsi="Cambria Math"/>
                <w:sz w:val="24"/>
              </w:rPr>
              <m:t>k</m:t>
            </m:r>
          </m:sup>
        </m:sSubSup>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ji</m:t>
            </m:r>
          </m:sub>
          <m:sup>
            <m:r>
              <w:rPr>
                <w:rFonts w:ascii="Cambria Math" w:hAnsi="Cambria Math"/>
                <w:sz w:val="24"/>
              </w:rPr>
              <m:t>k</m:t>
            </m:r>
          </m:sup>
        </m:sSubSup>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i</m:t>
                        </m:r>
                      </m:sub>
                      <m:sup>
                        <m:r>
                          <w:rPr>
                            <w:rFonts w:ascii="Cambria Math" w:hAnsi="Cambria Math"/>
                            <w:sz w:val="24"/>
                          </w:rPr>
                          <m:t>k</m:t>
                        </m:r>
                      </m:sup>
                    </m:sSubSup>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j</m:t>
                        </m:r>
                      </m:sub>
                      <m:sup>
                        <m:r>
                          <w:rPr>
                            <w:rFonts w:ascii="Cambria Math" w:hAnsi="Cambria Math"/>
                            <w:sz w:val="24"/>
                          </w:rPr>
                          <m:t>k</m:t>
                        </m:r>
                      </m:sup>
                    </m:sSubSup>
                  </m:num>
                  <m:den>
                    <m:sSup>
                      <m:sSupPr>
                        <m:ctrlPr>
                          <w:rPr>
                            <w:rFonts w:ascii="Cambria Math" w:hAnsi="Cambria Math"/>
                            <w:i/>
                            <w:sz w:val="24"/>
                          </w:rPr>
                        </m:ctrlPr>
                      </m:sSupPr>
                      <m:e>
                        <m:r>
                          <w:rPr>
                            <w:rFonts w:ascii="Cambria Math" w:hAnsi="Cambria Math"/>
                            <w:sz w:val="24"/>
                          </w:rPr>
                          <m:t>Y</m:t>
                        </m:r>
                      </m:e>
                      <m:sup>
                        <m:r>
                          <w:rPr>
                            <w:rFonts w:ascii="Cambria Math" w:hAnsi="Cambria Math"/>
                            <w:sz w:val="24"/>
                          </w:rPr>
                          <m:t>k</m:t>
                        </m:r>
                      </m:sup>
                    </m:sSup>
                  </m:den>
                </m:f>
              </m:e>
            </m:d>
          </m:e>
          <m:sup>
            <m:r>
              <w:rPr>
                <w:rFonts w:ascii="Cambria Math" w:hAnsi="Cambria Math"/>
                <w:sz w:val="24"/>
              </w:rPr>
              <m:t>2</m:t>
            </m:r>
          </m:sup>
        </m:sSup>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ij</m:t>
                        </m:r>
                      </m:sub>
                      <m:sup>
                        <m:r>
                          <w:rPr>
                            <w:rFonts w:ascii="Cambria Math" w:hAnsi="Cambria Math"/>
                            <w:sz w:val="24"/>
                          </w:rPr>
                          <m:t>k</m:t>
                        </m:r>
                      </m:sup>
                    </m:sSubSup>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j</m:t>
                        </m:r>
                        <m:r>
                          <w:rPr>
                            <w:rFonts w:ascii="Cambria Math" w:hAnsi="Cambria Math"/>
                            <w:sz w:val="24"/>
                          </w:rPr>
                          <m:t>i</m:t>
                        </m:r>
                      </m:sub>
                      <m:sup>
                        <m:r>
                          <w:rPr>
                            <w:rFonts w:ascii="Cambria Math" w:hAnsi="Cambria Math"/>
                            <w:sz w:val="24"/>
                          </w:rPr>
                          <m:t>k</m:t>
                        </m:r>
                      </m:sup>
                    </m:sSubSup>
                  </m:num>
                  <m:den>
                    <m:sSubSup>
                      <m:sSubSupPr>
                        <m:ctrlPr>
                          <w:rPr>
                            <w:rFonts w:ascii="Cambria Math" w:hAnsi="Cambria Math"/>
                            <w:sz w:val="24"/>
                          </w:rPr>
                        </m:ctrlPr>
                      </m:sSubSupPr>
                      <m:e>
                        <m:r>
                          <m:rPr>
                            <m:sty m:val="p"/>
                          </m:rPr>
                          <w:rPr>
                            <w:rFonts w:ascii="Cambria Math" w:hAnsi="Cambria Math"/>
                            <w:sz w:val="24"/>
                          </w:rPr>
                          <m:t>Π</m:t>
                        </m:r>
                      </m:e>
                      <m:sub>
                        <m:r>
                          <w:rPr>
                            <w:rFonts w:ascii="Cambria Math" w:hAnsi="Cambria Math"/>
                            <w:sz w:val="24"/>
                          </w:rPr>
                          <m:t>i</m:t>
                        </m:r>
                      </m:sub>
                      <m:sup>
                        <m:r>
                          <w:rPr>
                            <w:rFonts w:ascii="Cambria Math" w:hAnsi="Cambria Math"/>
                            <w:sz w:val="24"/>
                          </w:rPr>
                          <m:t>k</m:t>
                        </m:r>
                      </m:sup>
                    </m:sSubSup>
                    <m:sSubSup>
                      <m:sSubSupPr>
                        <m:ctrlPr>
                          <w:rPr>
                            <w:rFonts w:ascii="Cambria Math" w:hAnsi="Cambria Math"/>
                            <w:sz w:val="24"/>
                          </w:rPr>
                        </m:ctrlPr>
                      </m:sSubSupPr>
                      <m:e>
                        <m:r>
                          <m:rPr>
                            <m:sty m:val="p"/>
                          </m:rPr>
                          <w:rPr>
                            <w:rFonts w:ascii="Cambria Math" w:hAnsi="Cambria Math"/>
                            <w:sz w:val="24"/>
                          </w:rPr>
                          <m:t>Π</m:t>
                        </m:r>
                      </m:e>
                      <m:sub>
                        <m:r>
                          <w:rPr>
                            <w:rFonts w:ascii="Cambria Math" w:hAnsi="Cambria Math"/>
                            <w:sz w:val="24"/>
                          </w:rPr>
                          <m:t>j</m:t>
                        </m:r>
                      </m:sub>
                      <m:sup>
                        <m:r>
                          <w:rPr>
                            <w:rFonts w:ascii="Cambria Math" w:hAnsi="Cambria Math"/>
                            <w:sz w:val="24"/>
                          </w:rPr>
                          <m:t>k</m:t>
                        </m:r>
                      </m:sup>
                    </m:sSubSup>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k</m:t>
                        </m:r>
                      </m:sup>
                    </m:sSubSup>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k</m:t>
                        </m:r>
                      </m:sup>
                    </m:sSubSup>
                  </m:den>
                </m:f>
              </m:e>
            </m:d>
          </m:e>
          <m:sup>
            <m:r>
              <w:rPr>
                <w:rFonts w:ascii="Cambria Math" w:hAnsi="Cambria Math"/>
                <w:sz w:val="24"/>
              </w:rPr>
              <m:t>1-σ</m:t>
            </m:r>
          </m:sup>
        </m:sSup>
      </m:oMath>
      <w:r w:rsidR="00995A7D">
        <w:rPr>
          <w:sz w:val="24"/>
        </w:rPr>
        <w:tab/>
      </w:r>
      <w:r w:rsidR="00995A7D">
        <w:rPr>
          <w:sz w:val="24"/>
        </w:rPr>
        <w:tab/>
      </w:r>
      <w:r w:rsidR="00995A7D">
        <w:rPr>
          <w:sz w:val="24"/>
        </w:rPr>
        <w:tab/>
      </w:r>
      <w:r w:rsidR="00995A7D">
        <w:rPr>
          <w:sz w:val="24"/>
        </w:rPr>
        <w:tab/>
        <w:t>(4)</w:t>
      </w:r>
    </w:p>
    <w:p w14:paraId="2A4C5D8B" w14:textId="77777777" w:rsidR="00B01AE7" w:rsidRDefault="00995A7D" w:rsidP="00995A7D">
      <w:pPr>
        <w:jc w:val="both"/>
        <w:rPr>
          <w:sz w:val="24"/>
        </w:rPr>
      </w:pPr>
      <w:r>
        <w:rPr>
          <w:sz w:val="24"/>
        </w:rPr>
        <w:t>Substituting in the above equation the product of outward and inward multilateral resistance given by equation</w:t>
      </w:r>
      <w:r w:rsidR="00B01AE7">
        <w:rPr>
          <w:sz w:val="24"/>
        </w:rPr>
        <w:t>s (</w:t>
      </w:r>
      <w:r w:rsidR="000F17CB">
        <w:rPr>
          <w:sz w:val="24"/>
        </w:rPr>
        <w:t>1</w:t>
      </w:r>
      <w:r w:rsidR="00B01AE7">
        <w:rPr>
          <w:sz w:val="24"/>
        </w:rPr>
        <w:t>), and rearranging, the proposed measure for trade costs is:</w:t>
      </w:r>
    </w:p>
    <w:p w14:paraId="4EAD62F4" w14:textId="77777777" w:rsidR="00B01AE7" w:rsidRDefault="00AA1244" w:rsidP="006016B2">
      <w:pPr>
        <w:jc w:val="right"/>
        <w:rPr>
          <w:sz w:val="24"/>
        </w:rPr>
      </w:pPr>
      <m:oMath>
        <m:sSubSup>
          <m:sSubSupPr>
            <m:ctrlPr>
              <w:rPr>
                <w:rFonts w:ascii="Cambria Math" w:hAnsi="Cambria Math"/>
                <w:i/>
                <w:sz w:val="24"/>
              </w:rPr>
            </m:ctrlPr>
          </m:sSubSupPr>
          <m:e>
            <m:r>
              <w:rPr>
                <w:rFonts w:ascii="Cambria Math" w:hAnsi="Cambria Math"/>
                <w:sz w:val="24"/>
              </w:rPr>
              <m:t>τ</m:t>
            </m:r>
          </m:e>
          <m:sub>
            <m:r>
              <w:rPr>
                <w:rFonts w:ascii="Cambria Math" w:hAnsi="Cambria Math"/>
                <w:sz w:val="24"/>
              </w:rPr>
              <m:t>ij</m:t>
            </m:r>
          </m:sub>
          <m:sup>
            <m:r>
              <w:rPr>
                <w:rFonts w:ascii="Cambria Math" w:hAnsi="Cambria Math"/>
                <w:sz w:val="24"/>
              </w:rPr>
              <m:t>k</m:t>
            </m:r>
          </m:sup>
        </m:sSubSup>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ij</m:t>
                        </m:r>
                      </m:sub>
                      <m:sup>
                        <m:r>
                          <w:rPr>
                            <w:rFonts w:ascii="Cambria Math" w:hAnsi="Cambria Math"/>
                            <w:sz w:val="24"/>
                          </w:rPr>
                          <m:t>k</m:t>
                        </m:r>
                      </m:sup>
                    </m:sSubSup>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ji</m:t>
                        </m:r>
                      </m:sub>
                      <m:sup>
                        <m:r>
                          <w:rPr>
                            <w:rFonts w:ascii="Cambria Math" w:hAnsi="Cambria Math"/>
                            <w:sz w:val="24"/>
                          </w:rPr>
                          <m:t>k</m:t>
                        </m:r>
                      </m:sup>
                    </m:sSubSup>
                  </m:num>
                  <m:den>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ii</m:t>
                        </m:r>
                      </m:sub>
                      <m:sup>
                        <m:r>
                          <w:rPr>
                            <w:rFonts w:ascii="Cambria Math" w:hAnsi="Cambria Math"/>
                            <w:sz w:val="24"/>
                          </w:rPr>
                          <m:t>k</m:t>
                        </m:r>
                      </m:sup>
                    </m:sSubSup>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jj</m:t>
                        </m:r>
                      </m:sub>
                      <m:sup>
                        <m:r>
                          <w:rPr>
                            <w:rFonts w:ascii="Cambria Math" w:hAnsi="Cambria Math"/>
                            <w:sz w:val="24"/>
                          </w:rPr>
                          <m:t>k</m:t>
                        </m:r>
                      </m:sup>
                    </m:sSubSup>
                  </m:den>
                </m:f>
              </m:e>
            </m:d>
          </m:e>
          <m:sup>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sup>
        </m:sSup>
        <m:r>
          <w:rPr>
            <w:rFonts w:ascii="Cambria Math" w:hAnsi="Cambria Math"/>
            <w:sz w:val="24"/>
          </w:rPr>
          <m:t>-1=</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ii</m:t>
                        </m:r>
                      </m:sub>
                      <m:sup>
                        <m:r>
                          <w:rPr>
                            <w:rFonts w:ascii="Cambria Math" w:hAnsi="Cambria Math"/>
                            <w:sz w:val="24"/>
                          </w:rPr>
                          <m:t>k</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jj</m:t>
                        </m:r>
                      </m:sub>
                      <m:sup>
                        <m:r>
                          <w:rPr>
                            <w:rFonts w:ascii="Cambria Math" w:hAnsi="Cambria Math"/>
                            <w:sz w:val="24"/>
                          </w:rPr>
                          <m:t>k</m:t>
                        </m:r>
                      </m:sup>
                    </m:sSubSup>
                  </m:num>
                  <m:den>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sub>
                      <m:sup>
                        <m:r>
                          <w:rPr>
                            <w:rFonts w:ascii="Cambria Math" w:hAnsi="Cambria Math"/>
                            <w:sz w:val="24"/>
                          </w:rPr>
                          <m:t>k</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ji</m:t>
                        </m:r>
                      </m:sub>
                      <m:sup>
                        <m:r>
                          <w:rPr>
                            <w:rFonts w:ascii="Cambria Math" w:hAnsi="Cambria Math"/>
                            <w:sz w:val="24"/>
                          </w:rPr>
                          <m:t>k</m:t>
                        </m:r>
                      </m:sup>
                    </m:sSubSup>
                  </m:den>
                </m:f>
              </m:e>
            </m:d>
          </m:e>
          <m:sup>
            <m:f>
              <m:fPr>
                <m:ctrlPr>
                  <w:rPr>
                    <w:rFonts w:ascii="Cambria Math" w:hAnsi="Cambria Math"/>
                    <w:i/>
                    <w:sz w:val="24"/>
                  </w:rPr>
                </m:ctrlPr>
              </m:fPr>
              <m:num>
                <m:r>
                  <w:rPr>
                    <w:rFonts w:ascii="Cambria Math" w:hAnsi="Cambria Math"/>
                    <w:sz w:val="24"/>
                  </w:rPr>
                  <m:t>1</m:t>
                </m:r>
              </m:num>
              <m:den>
                <m:r>
                  <w:rPr>
                    <w:rFonts w:ascii="Cambria Math" w:hAnsi="Cambria Math"/>
                    <w:sz w:val="24"/>
                  </w:rPr>
                  <m:t>2(σ-1)</m:t>
                </m:r>
              </m:den>
            </m:f>
          </m:sup>
        </m:sSup>
        <m:r>
          <w:rPr>
            <w:rFonts w:ascii="Cambria Math" w:hAnsi="Cambria Math"/>
            <w:sz w:val="24"/>
          </w:rPr>
          <m:t>-1</m:t>
        </m:r>
      </m:oMath>
      <w:r w:rsidR="006016B2">
        <w:rPr>
          <w:sz w:val="24"/>
        </w:rPr>
        <w:t xml:space="preserve"> </w:t>
      </w:r>
      <w:r w:rsidR="006016B2">
        <w:rPr>
          <w:sz w:val="24"/>
        </w:rPr>
        <w:tab/>
      </w:r>
      <w:r w:rsidR="006016B2">
        <w:rPr>
          <w:sz w:val="24"/>
        </w:rPr>
        <w:tab/>
      </w:r>
      <w:r w:rsidR="006016B2">
        <w:rPr>
          <w:sz w:val="24"/>
        </w:rPr>
        <w:tab/>
        <w:t>(5)</w:t>
      </w:r>
    </w:p>
    <w:p w14:paraId="6CBA1317" w14:textId="16545382" w:rsidR="00995A7D" w:rsidRPr="009B43B6" w:rsidRDefault="00AA1244" w:rsidP="00995A7D">
      <w:pPr>
        <w:jc w:val="both"/>
        <w:rPr>
          <w:sz w:val="24"/>
          <w:szCs w:val="24"/>
        </w:rPr>
      </w:pPr>
      <m:oMath>
        <m:sSubSup>
          <m:sSubSupPr>
            <m:ctrlPr>
              <w:rPr>
                <w:rFonts w:ascii="Cambria Math" w:hAnsi="Cambria Math"/>
                <w:i/>
                <w:sz w:val="24"/>
              </w:rPr>
            </m:ctrlPr>
          </m:sSubSupPr>
          <m:e>
            <m:r>
              <w:rPr>
                <w:rFonts w:ascii="Cambria Math" w:hAnsi="Cambria Math"/>
                <w:sz w:val="24"/>
              </w:rPr>
              <m:t>τ</m:t>
            </m:r>
          </m:e>
          <m:sub>
            <m:r>
              <w:rPr>
                <w:rFonts w:ascii="Cambria Math" w:hAnsi="Cambria Math"/>
                <w:sz w:val="24"/>
              </w:rPr>
              <m:t>ij</m:t>
            </m:r>
          </m:sub>
          <m:sup>
            <m:r>
              <w:rPr>
                <w:rFonts w:ascii="Cambria Math" w:hAnsi="Cambria Math"/>
                <w:sz w:val="24"/>
              </w:rPr>
              <m:t>k</m:t>
            </m:r>
          </m:sup>
        </m:sSubSup>
      </m:oMath>
      <w:r w:rsidR="00385FC9">
        <w:rPr>
          <w:sz w:val="24"/>
        </w:rPr>
        <w:t xml:space="preserve"> measures bilateral trade costs </w:t>
      </w:r>
      <m:oMath>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ij</m:t>
            </m:r>
          </m:sub>
          <m:sup>
            <m:r>
              <w:rPr>
                <w:rFonts w:ascii="Cambria Math" w:hAnsi="Cambria Math"/>
                <w:sz w:val="24"/>
              </w:rPr>
              <m:t>k</m:t>
            </m:r>
          </m:sup>
        </m:sSubSup>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ji</m:t>
            </m:r>
          </m:sub>
          <m:sup>
            <m:r>
              <w:rPr>
                <w:rFonts w:ascii="Cambria Math" w:hAnsi="Cambria Math"/>
                <w:sz w:val="24"/>
              </w:rPr>
              <m:t>k</m:t>
            </m:r>
          </m:sup>
        </m:sSubSup>
      </m:oMath>
      <w:r w:rsidR="00385FC9">
        <w:rPr>
          <w:sz w:val="24"/>
        </w:rPr>
        <w:t xml:space="preserve"> relative to domestic trade costs </w:t>
      </w:r>
      <m:oMath>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ii</m:t>
            </m:r>
          </m:sub>
          <m:sup>
            <m:r>
              <w:rPr>
                <w:rFonts w:ascii="Cambria Math" w:hAnsi="Cambria Math"/>
                <w:sz w:val="24"/>
              </w:rPr>
              <m:t>k</m:t>
            </m:r>
          </m:sup>
        </m:sSubSup>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j</m:t>
            </m:r>
            <m:r>
              <w:rPr>
                <w:rFonts w:ascii="Cambria Math" w:hAnsi="Cambria Math"/>
                <w:sz w:val="24"/>
              </w:rPr>
              <m:t>j</m:t>
            </m:r>
          </m:sub>
          <m:sup>
            <m:r>
              <w:rPr>
                <w:rFonts w:ascii="Cambria Math" w:hAnsi="Cambria Math"/>
                <w:sz w:val="24"/>
              </w:rPr>
              <m:t>k</m:t>
            </m:r>
          </m:sup>
        </m:sSubSup>
      </m:oMath>
      <w:r w:rsidR="00385FC9">
        <w:rPr>
          <w:sz w:val="24"/>
        </w:rPr>
        <w:t xml:space="preserve"> and is t</w:t>
      </w:r>
      <w:r w:rsidR="00995A7D">
        <w:rPr>
          <w:sz w:val="24"/>
        </w:rPr>
        <w:t xml:space="preserve">he </w:t>
      </w:r>
      <w:r w:rsidR="00995A7D" w:rsidRPr="009B43B6">
        <w:rPr>
          <w:sz w:val="24"/>
          <w:szCs w:val="24"/>
        </w:rPr>
        <w:t xml:space="preserve">geometric mean </w:t>
      </w:r>
      <w:r w:rsidR="00385FC9" w:rsidRPr="009B43B6">
        <w:rPr>
          <w:sz w:val="24"/>
          <w:szCs w:val="24"/>
        </w:rPr>
        <w:t>of barriers to trade</w:t>
      </w:r>
      <w:r w:rsidR="00995A7D" w:rsidRPr="009B43B6">
        <w:rPr>
          <w:sz w:val="24"/>
          <w:szCs w:val="24"/>
        </w:rPr>
        <w:t xml:space="preserve"> in both directions</w:t>
      </w:r>
      <w:r w:rsidR="00385FC9" w:rsidRPr="009B43B6">
        <w:rPr>
          <w:sz w:val="24"/>
          <w:szCs w:val="24"/>
        </w:rPr>
        <w:t xml:space="preserve">. One is </w:t>
      </w:r>
      <w:r w:rsidR="00D81C00">
        <w:rPr>
          <w:sz w:val="24"/>
          <w:szCs w:val="24"/>
        </w:rPr>
        <w:t>subtracted</w:t>
      </w:r>
      <w:r w:rsidR="00D81C00" w:rsidRPr="009B43B6">
        <w:rPr>
          <w:sz w:val="24"/>
          <w:szCs w:val="24"/>
        </w:rPr>
        <w:t xml:space="preserve"> </w:t>
      </w:r>
      <w:r w:rsidR="00385FC9" w:rsidRPr="009B43B6">
        <w:rPr>
          <w:sz w:val="24"/>
          <w:szCs w:val="24"/>
        </w:rPr>
        <w:t>in order to obtain</w:t>
      </w:r>
      <w:r w:rsidR="00995A7D" w:rsidRPr="009B43B6">
        <w:rPr>
          <w:sz w:val="24"/>
          <w:szCs w:val="24"/>
        </w:rPr>
        <w:t xml:space="preserve"> a tariff</w:t>
      </w:r>
      <w:r w:rsidR="00385FC9" w:rsidRPr="009B43B6">
        <w:rPr>
          <w:sz w:val="24"/>
          <w:szCs w:val="24"/>
        </w:rPr>
        <w:t xml:space="preserve"> equivalent.</w:t>
      </w:r>
    </w:p>
    <w:p w14:paraId="397B3B23" w14:textId="1FDB6026" w:rsidR="00C948B3" w:rsidRPr="009B43B6" w:rsidRDefault="00385FC9" w:rsidP="009B43B6">
      <w:pPr>
        <w:jc w:val="both"/>
        <w:rPr>
          <w:sz w:val="24"/>
          <w:szCs w:val="24"/>
        </w:rPr>
      </w:pPr>
      <w:r w:rsidRPr="009B43B6">
        <w:rPr>
          <w:sz w:val="24"/>
          <w:szCs w:val="24"/>
        </w:rPr>
        <w:t>This measure</w:t>
      </w:r>
      <w:r w:rsidR="009B43B6" w:rsidRPr="009B43B6">
        <w:rPr>
          <w:sz w:val="24"/>
          <w:szCs w:val="24"/>
        </w:rPr>
        <w:t xml:space="preserve"> was used by Miroudot </w:t>
      </w:r>
      <w:r w:rsidR="009B43B6" w:rsidRPr="009B43B6">
        <w:rPr>
          <w:i/>
          <w:sz w:val="24"/>
          <w:szCs w:val="24"/>
        </w:rPr>
        <w:t xml:space="preserve">et al. </w:t>
      </w:r>
      <w:r w:rsidR="009B43B6" w:rsidRPr="009B43B6">
        <w:rPr>
          <w:sz w:val="24"/>
          <w:szCs w:val="24"/>
        </w:rPr>
        <w:t xml:space="preserve">(2013a) </w:t>
      </w:r>
      <w:r w:rsidR="00B778A4">
        <w:rPr>
          <w:sz w:val="24"/>
          <w:szCs w:val="24"/>
        </w:rPr>
        <w:t>to assess</w:t>
      </w:r>
      <w:r w:rsidR="009B43B6" w:rsidRPr="009B43B6">
        <w:rPr>
          <w:sz w:val="24"/>
          <w:szCs w:val="24"/>
        </w:rPr>
        <w:t xml:space="preserve"> trade costs for services</w:t>
      </w:r>
      <w:r w:rsidR="000F2F67">
        <w:rPr>
          <w:sz w:val="24"/>
          <w:szCs w:val="24"/>
        </w:rPr>
        <w:t xml:space="preserve"> and compare them with trade costs for goods</w:t>
      </w:r>
      <w:r w:rsidR="009B43B6" w:rsidRPr="009B43B6">
        <w:rPr>
          <w:sz w:val="24"/>
          <w:szCs w:val="24"/>
        </w:rPr>
        <w:t>. It</w:t>
      </w:r>
      <w:r w:rsidR="00AE547C" w:rsidRPr="009B43B6">
        <w:rPr>
          <w:sz w:val="24"/>
          <w:szCs w:val="24"/>
        </w:rPr>
        <w:t xml:space="preserve"> is ‘top down’ in the sense</w:t>
      </w:r>
      <w:r w:rsidR="0005652B" w:rsidRPr="009B43B6">
        <w:rPr>
          <w:sz w:val="24"/>
          <w:szCs w:val="24"/>
        </w:rPr>
        <w:t xml:space="preserve"> </w:t>
      </w:r>
      <w:r w:rsidR="00AE547C" w:rsidRPr="009B43B6">
        <w:rPr>
          <w:sz w:val="24"/>
          <w:szCs w:val="24"/>
        </w:rPr>
        <w:t xml:space="preserve">that it infers trade costs from observed patterns of trade and production. </w:t>
      </w:r>
      <w:r w:rsidR="0005652B" w:rsidRPr="009B43B6">
        <w:rPr>
          <w:sz w:val="24"/>
          <w:szCs w:val="24"/>
        </w:rPr>
        <w:t xml:space="preserve">It </w:t>
      </w:r>
      <w:r w:rsidR="00AE547C" w:rsidRPr="009B43B6">
        <w:rPr>
          <w:sz w:val="24"/>
          <w:szCs w:val="24"/>
        </w:rPr>
        <w:t>capture</w:t>
      </w:r>
      <w:r w:rsidR="0005652B" w:rsidRPr="009B43B6">
        <w:rPr>
          <w:sz w:val="24"/>
          <w:szCs w:val="24"/>
        </w:rPr>
        <w:t>s</w:t>
      </w:r>
      <w:r w:rsidR="00AE547C" w:rsidRPr="009B43B6">
        <w:rPr>
          <w:sz w:val="24"/>
          <w:szCs w:val="24"/>
        </w:rPr>
        <w:t xml:space="preserve"> the full range of cost</w:t>
      </w:r>
      <w:r w:rsidR="0005652B" w:rsidRPr="009B43B6">
        <w:rPr>
          <w:sz w:val="24"/>
          <w:szCs w:val="24"/>
        </w:rPr>
        <w:t xml:space="preserve"> </w:t>
      </w:r>
      <w:r w:rsidR="00AE547C" w:rsidRPr="009B43B6">
        <w:rPr>
          <w:sz w:val="24"/>
          <w:szCs w:val="24"/>
        </w:rPr>
        <w:t>factors affecting international trade in services</w:t>
      </w:r>
      <w:r w:rsidR="0005652B" w:rsidRPr="009B43B6">
        <w:rPr>
          <w:sz w:val="24"/>
          <w:szCs w:val="24"/>
        </w:rPr>
        <w:t xml:space="preserve"> (including</w:t>
      </w:r>
      <w:r w:rsidR="00AE547C" w:rsidRPr="009B43B6">
        <w:rPr>
          <w:sz w:val="24"/>
          <w:szCs w:val="24"/>
        </w:rPr>
        <w:t xml:space="preserve"> unobservable trade costs</w:t>
      </w:r>
      <w:r w:rsidR="0005652B" w:rsidRPr="009B43B6">
        <w:rPr>
          <w:sz w:val="24"/>
          <w:szCs w:val="24"/>
        </w:rPr>
        <w:t>).</w:t>
      </w:r>
      <w:r w:rsidR="00AE547C" w:rsidRPr="009B43B6">
        <w:rPr>
          <w:sz w:val="24"/>
          <w:szCs w:val="24"/>
        </w:rPr>
        <w:t xml:space="preserve"> </w:t>
      </w:r>
      <w:r w:rsidR="00E2366A">
        <w:rPr>
          <w:sz w:val="24"/>
          <w:szCs w:val="24"/>
        </w:rPr>
        <w:t xml:space="preserve">It </w:t>
      </w:r>
      <w:r w:rsidR="00E2366A">
        <w:rPr>
          <w:sz w:val="24"/>
          <w:szCs w:val="24"/>
        </w:rPr>
        <w:lastRenderedPageBreak/>
        <w:t xml:space="preserve">should be clear that these trade costs are not only related to restrictive trade policies or to regulations put in place by governments, they correspond to broad trade frictions that are also explained by the preferences of consumers for domestic services or by cultural differences across countries. The measure includes any type of trade frictions that raise the costs of </w:t>
      </w:r>
      <w:proofErr w:type="gramStart"/>
      <w:r w:rsidR="00E2366A">
        <w:rPr>
          <w:sz w:val="24"/>
          <w:szCs w:val="24"/>
        </w:rPr>
        <w:t>foreign service</w:t>
      </w:r>
      <w:proofErr w:type="gramEnd"/>
      <w:r w:rsidR="00E2366A">
        <w:rPr>
          <w:sz w:val="24"/>
          <w:szCs w:val="24"/>
        </w:rPr>
        <w:t xml:space="preserve"> suppliers as compared to domestic suppliers.  </w:t>
      </w:r>
      <w:r w:rsidR="0005652B" w:rsidRPr="009B43B6">
        <w:rPr>
          <w:sz w:val="24"/>
          <w:szCs w:val="24"/>
        </w:rPr>
        <w:t xml:space="preserve">The </w:t>
      </w:r>
      <w:r w:rsidR="00AE547C" w:rsidRPr="009B43B6">
        <w:rPr>
          <w:sz w:val="24"/>
          <w:szCs w:val="24"/>
        </w:rPr>
        <w:t>methodology is theory-based</w:t>
      </w:r>
      <w:r w:rsidR="0005652B" w:rsidRPr="009B43B6">
        <w:rPr>
          <w:sz w:val="24"/>
          <w:szCs w:val="24"/>
        </w:rPr>
        <w:t xml:space="preserve"> </w:t>
      </w:r>
      <w:r w:rsidR="00AE547C" w:rsidRPr="009B43B6">
        <w:rPr>
          <w:sz w:val="24"/>
          <w:szCs w:val="24"/>
        </w:rPr>
        <w:t>and relies on an identity relationship</w:t>
      </w:r>
      <w:r w:rsidR="0005652B" w:rsidRPr="009B43B6">
        <w:rPr>
          <w:sz w:val="24"/>
          <w:szCs w:val="24"/>
        </w:rPr>
        <w:t xml:space="preserve"> </w:t>
      </w:r>
      <w:r w:rsidR="00AE547C" w:rsidRPr="009B43B6">
        <w:rPr>
          <w:sz w:val="24"/>
          <w:szCs w:val="24"/>
        </w:rPr>
        <w:t xml:space="preserve">rather than econometric estimation. </w:t>
      </w:r>
    </w:p>
    <w:p w14:paraId="47988934" w14:textId="77777777" w:rsidR="00202B85" w:rsidRDefault="00202B85" w:rsidP="00202B85">
      <w:pPr>
        <w:pStyle w:val="Heading2"/>
      </w:pPr>
      <w:r>
        <w:t>2.</w:t>
      </w:r>
      <w:r w:rsidR="00926CD8">
        <w:t>2</w:t>
      </w:r>
      <w:r>
        <w:t xml:space="preserve"> </w:t>
      </w:r>
      <w:r w:rsidR="00D8235F">
        <w:t>Trade costs for intermediate and final services</w:t>
      </w:r>
    </w:p>
    <w:p w14:paraId="41D4616A" w14:textId="515EB99E" w:rsidR="00C1388D" w:rsidRPr="00531682" w:rsidRDefault="00D8235F" w:rsidP="008A67E5">
      <w:pPr>
        <w:jc w:val="both"/>
        <w:rPr>
          <w:sz w:val="24"/>
          <w:szCs w:val="24"/>
        </w:rPr>
      </w:pPr>
      <w:r w:rsidRPr="00531682">
        <w:rPr>
          <w:sz w:val="24"/>
          <w:szCs w:val="24"/>
        </w:rPr>
        <w:t xml:space="preserve">To move from gross trade in services to value added trade, the first step is to decompose trade into intermediate and final flows. Instead of subscript </w:t>
      </w:r>
      <w:r w:rsidRPr="00531682">
        <w:rPr>
          <w:i/>
          <w:sz w:val="24"/>
          <w:szCs w:val="24"/>
        </w:rPr>
        <w:t>k</w:t>
      </w:r>
      <w:r w:rsidRPr="00531682">
        <w:rPr>
          <w:sz w:val="24"/>
          <w:szCs w:val="24"/>
        </w:rPr>
        <w:t xml:space="preserve"> corresponding to different varieties of services, we now use subscript </w:t>
      </w:r>
      <w:r w:rsidR="005B4149" w:rsidRPr="00531682">
        <w:rPr>
          <w:i/>
          <w:sz w:val="24"/>
          <w:szCs w:val="24"/>
        </w:rPr>
        <w:t>m</w:t>
      </w:r>
      <w:r w:rsidRPr="00531682">
        <w:rPr>
          <w:sz w:val="24"/>
          <w:szCs w:val="24"/>
        </w:rPr>
        <w:t xml:space="preserve"> for intermediate services </w:t>
      </w:r>
      <w:r w:rsidR="009E06A4">
        <w:rPr>
          <w:sz w:val="24"/>
          <w:szCs w:val="24"/>
        </w:rPr>
        <w:t>(</w:t>
      </w:r>
      <w:r w:rsidR="009E06A4">
        <w:rPr>
          <w:i/>
          <w:sz w:val="24"/>
          <w:szCs w:val="24"/>
        </w:rPr>
        <w:t xml:space="preserve">i.e. </w:t>
      </w:r>
      <w:r w:rsidR="009E06A4">
        <w:rPr>
          <w:sz w:val="24"/>
          <w:szCs w:val="24"/>
        </w:rPr>
        <w:t xml:space="preserve">services used as inputs by companies in the production process) </w:t>
      </w:r>
      <w:r w:rsidRPr="00531682">
        <w:rPr>
          <w:sz w:val="24"/>
          <w:szCs w:val="24"/>
        </w:rPr>
        <w:t xml:space="preserve">and subscript </w:t>
      </w:r>
      <w:r w:rsidRPr="00531682">
        <w:rPr>
          <w:i/>
          <w:sz w:val="24"/>
          <w:szCs w:val="24"/>
        </w:rPr>
        <w:t>f</w:t>
      </w:r>
      <w:r w:rsidRPr="00531682">
        <w:rPr>
          <w:sz w:val="24"/>
          <w:szCs w:val="24"/>
        </w:rPr>
        <w:t xml:space="preserve"> for final</w:t>
      </w:r>
      <w:r w:rsidR="00C1388D" w:rsidRPr="00531682">
        <w:rPr>
          <w:sz w:val="24"/>
          <w:szCs w:val="24"/>
        </w:rPr>
        <w:t xml:space="preserve"> services</w:t>
      </w:r>
      <w:r w:rsidR="009E06A4">
        <w:rPr>
          <w:sz w:val="24"/>
          <w:szCs w:val="24"/>
        </w:rPr>
        <w:t xml:space="preserve"> (</w:t>
      </w:r>
      <w:r w:rsidR="009E06A4">
        <w:rPr>
          <w:i/>
          <w:sz w:val="24"/>
          <w:szCs w:val="24"/>
        </w:rPr>
        <w:t>i.e.</w:t>
      </w:r>
      <w:r w:rsidR="009E06A4">
        <w:rPr>
          <w:sz w:val="24"/>
          <w:szCs w:val="24"/>
        </w:rPr>
        <w:t xml:space="preserve"> services consumed by households and governments, as well as services </w:t>
      </w:r>
      <w:r w:rsidR="00113CAB">
        <w:rPr>
          <w:sz w:val="24"/>
          <w:szCs w:val="24"/>
        </w:rPr>
        <w:t>purchased by firms for investment purposes)</w:t>
      </w:r>
      <w:r w:rsidR="00C1388D" w:rsidRPr="00531682">
        <w:rPr>
          <w:sz w:val="24"/>
          <w:szCs w:val="24"/>
        </w:rPr>
        <w:t>. Total trade</w:t>
      </w:r>
      <w:r w:rsidR="005B4149" w:rsidRPr="00531682">
        <w:rPr>
          <w:sz w:val="24"/>
          <w:szCs w:val="24"/>
        </w:rPr>
        <w:t xml:space="preserve"> in services from </w:t>
      </w:r>
      <w:r w:rsidR="005B4149" w:rsidRPr="00531682">
        <w:rPr>
          <w:i/>
          <w:sz w:val="24"/>
          <w:szCs w:val="24"/>
        </w:rPr>
        <w:t>i</w:t>
      </w:r>
      <w:r w:rsidR="005B4149" w:rsidRPr="00531682">
        <w:rPr>
          <w:sz w:val="24"/>
          <w:szCs w:val="24"/>
        </w:rPr>
        <w:t xml:space="preserve"> to </w:t>
      </w:r>
      <w:r w:rsidR="005B4149" w:rsidRPr="00531682">
        <w:rPr>
          <w:i/>
          <w:sz w:val="24"/>
          <w:szCs w:val="24"/>
        </w:rPr>
        <w:t>j</w:t>
      </w:r>
      <w:r w:rsidR="00C1388D" w:rsidRPr="00531682">
        <w:rPr>
          <w:sz w:val="24"/>
          <w:szCs w:val="24"/>
        </w:rPr>
        <w:t xml:space="preserve"> is defined as:</w:t>
      </w:r>
    </w:p>
    <w:p w14:paraId="0BA9EAF7" w14:textId="77777777" w:rsidR="00D8235F" w:rsidRPr="00531682" w:rsidRDefault="00AA1244" w:rsidP="005B4149">
      <w:pPr>
        <w:jc w:val="right"/>
        <w:rPr>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ij</m:t>
            </m:r>
          </m:sub>
          <m:sup>
            <m:r>
              <w:rPr>
                <w:rFonts w:ascii="Cambria Math" w:hAnsi="Cambria Math"/>
                <w:sz w:val="24"/>
                <w:szCs w:val="24"/>
              </w:rPr>
              <m:t>m</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ij</m:t>
            </m:r>
          </m:sub>
          <m:sup>
            <m:r>
              <w:rPr>
                <w:rFonts w:ascii="Cambria Math" w:hAnsi="Cambria Math"/>
                <w:sz w:val="24"/>
                <w:szCs w:val="24"/>
              </w:rPr>
              <m:t>f</m:t>
            </m:r>
          </m:sup>
        </m:sSubSup>
      </m:oMath>
      <w:r w:rsidR="00D8235F" w:rsidRPr="00531682">
        <w:rPr>
          <w:sz w:val="24"/>
          <w:szCs w:val="24"/>
        </w:rPr>
        <w:t xml:space="preserve"> </w:t>
      </w:r>
      <w:r w:rsidR="005B4149" w:rsidRPr="00531682">
        <w:rPr>
          <w:sz w:val="24"/>
          <w:szCs w:val="24"/>
        </w:rPr>
        <w:tab/>
      </w:r>
      <w:r w:rsidR="005B4149" w:rsidRPr="00531682">
        <w:rPr>
          <w:sz w:val="24"/>
          <w:szCs w:val="24"/>
        </w:rPr>
        <w:tab/>
      </w:r>
      <w:r w:rsidR="005B4149" w:rsidRPr="00531682">
        <w:rPr>
          <w:sz w:val="24"/>
          <w:szCs w:val="24"/>
        </w:rPr>
        <w:tab/>
      </w:r>
      <w:r w:rsidR="005B4149" w:rsidRPr="00531682">
        <w:rPr>
          <w:sz w:val="24"/>
          <w:szCs w:val="24"/>
        </w:rPr>
        <w:tab/>
      </w:r>
      <w:r w:rsidR="005B4149" w:rsidRPr="00531682">
        <w:rPr>
          <w:sz w:val="24"/>
          <w:szCs w:val="24"/>
        </w:rPr>
        <w:tab/>
      </w:r>
      <w:r w:rsidR="005B4149" w:rsidRPr="00531682">
        <w:rPr>
          <w:sz w:val="24"/>
          <w:szCs w:val="24"/>
        </w:rPr>
        <w:tab/>
        <w:t xml:space="preserve"> (6)</w:t>
      </w:r>
    </w:p>
    <w:p w14:paraId="10A7B5D6" w14:textId="77777777" w:rsidR="00F64FD3" w:rsidRPr="00531682" w:rsidRDefault="00F64FD3" w:rsidP="00316019">
      <w:pPr>
        <w:jc w:val="both"/>
        <w:rPr>
          <w:sz w:val="24"/>
          <w:szCs w:val="24"/>
        </w:rPr>
      </w:pPr>
      <w:r w:rsidRPr="00531682">
        <w:rPr>
          <w:sz w:val="24"/>
          <w:szCs w:val="24"/>
        </w:rPr>
        <w:t xml:space="preserve">To facilitate the exposition, we have only two categories of services but </w:t>
      </w:r>
      <w:r w:rsidRPr="00531682">
        <w:rPr>
          <w:i/>
          <w:sz w:val="24"/>
          <w:szCs w:val="24"/>
        </w:rPr>
        <w:t xml:space="preserve">m </w:t>
      </w:r>
      <w:r w:rsidRPr="00531682">
        <w:rPr>
          <w:sz w:val="24"/>
          <w:szCs w:val="24"/>
        </w:rPr>
        <w:t xml:space="preserve">and </w:t>
      </w:r>
      <w:r w:rsidRPr="00531682">
        <w:rPr>
          <w:i/>
          <w:sz w:val="24"/>
          <w:szCs w:val="24"/>
        </w:rPr>
        <w:t xml:space="preserve">f </w:t>
      </w:r>
      <w:r w:rsidRPr="00531682">
        <w:rPr>
          <w:sz w:val="24"/>
          <w:szCs w:val="24"/>
        </w:rPr>
        <w:t>can also be regarded as different varieties of intermediate and final services, and the approach can be generalised to intermediate and final products (not distinguishing between goods and services).</w:t>
      </w:r>
    </w:p>
    <w:p w14:paraId="0CF79DC0" w14:textId="601BC3F0" w:rsidR="00DC52D0" w:rsidRPr="00531682" w:rsidRDefault="00316019" w:rsidP="00316019">
      <w:pPr>
        <w:jc w:val="both"/>
        <w:rPr>
          <w:sz w:val="24"/>
          <w:szCs w:val="24"/>
        </w:rPr>
      </w:pPr>
      <w:r w:rsidRPr="00531682">
        <w:rPr>
          <w:sz w:val="24"/>
          <w:szCs w:val="24"/>
        </w:rPr>
        <w:t xml:space="preserve">Following Noguera (2012), </w:t>
      </w:r>
      <w:r w:rsidR="00F64FD3" w:rsidRPr="00531682">
        <w:rPr>
          <w:sz w:val="24"/>
          <w:szCs w:val="24"/>
        </w:rPr>
        <w:t>we decompose gravity equation</w:t>
      </w:r>
      <w:r w:rsidRPr="00531682">
        <w:rPr>
          <w:sz w:val="24"/>
          <w:szCs w:val="24"/>
        </w:rPr>
        <w:t xml:space="preserve"> </w:t>
      </w:r>
      <w:r w:rsidR="00F64FD3" w:rsidRPr="00531682">
        <w:rPr>
          <w:sz w:val="24"/>
          <w:szCs w:val="24"/>
        </w:rPr>
        <w:t>(1) into intermediate and final trade flows</w:t>
      </w:r>
      <w:r w:rsidR="000B1E22">
        <w:rPr>
          <w:rStyle w:val="FootnoteReference"/>
          <w:sz w:val="24"/>
          <w:szCs w:val="24"/>
        </w:rPr>
        <w:footnoteReference w:id="1"/>
      </w:r>
      <w:r w:rsidR="00F64FD3" w:rsidRPr="00531682">
        <w:rPr>
          <w:sz w:val="24"/>
          <w:szCs w:val="24"/>
        </w:rPr>
        <w:t>:</w:t>
      </w:r>
    </w:p>
    <w:p w14:paraId="126B7B69" w14:textId="77777777" w:rsidR="00DC52D0" w:rsidRPr="00531682" w:rsidRDefault="00AA1244" w:rsidP="00F64FD3">
      <w:pPr>
        <w:jc w:val="right"/>
        <w:rPr>
          <w:sz w:val="24"/>
          <w:szCs w:val="24"/>
        </w:rPr>
      </w:pP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ij</m:t>
            </m:r>
          </m:sub>
          <m:sup>
            <m:r>
              <w:rPr>
                <w:rFonts w:ascii="Cambria Math" w:hAnsi="Cambria Math"/>
                <w:sz w:val="24"/>
                <w:szCs w:val="24"/>
              </w:rPr>
              <m:t>m</m:t>
            </m:r>
          </m:sup>
        </m:sSub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num>
          <m:den>
            <m:r>
              <w:rPr>
                <w:rFonts w:ascii="Cambria Math" w:hAnsi="Cambria Math"/>
                <w:sz w:val="24"/>
                <w:szCs w:val="24"/>
              </w:rPr>
              <m:t>Y</m:t>
            </m:r>
          </m:den>
        </m:f>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ij</m:t>
                        </m:r>
                      </m:sub>
                      <m:sup>
                        <m:r>
                          <w:rPr>
                            <w:rFonts w:ascii="Cambria Math" w:hAnsi="Cambria Math"/>
                            <w:sz w:val="24"/>
                            <w:szCs w:val="24"/>
                          </w:rPr>
                          <m:t>m</m:t>
                        </m:r>
                      </m:sup>
                    </m:sSubSup>
                  </m:num>
                  <m:den>
                    <m:sSubSup>
                      <m:sSubSupPr>
                        <m:ctrlPr>
                          <w:rPr>
                            <w:rFonts w:ascii="Cambria Math" w:hAnsi="Cambria Math"/>
                            <w:i/>
                            <w:sz w:val="24"/>
                            <w:szCs w:val="24"/>
                          </w:rPr>
                        </m:ctrlPr>
                      </m:sSubSupPr>
                      <m:e>
                        <m:r>
                          <m:rPr>
                            <m:sty m:val="p"/>
                          </m:rPr>
                          <w:rPr>
                            <w:rFonts w:ascii="Cambria Math" w:hAnsi="Cambria Math"/>
                            <w:sz w:val="24"/>
                            <w:szCs w:val="24"/>
                          </w:rPr>
                          <m:t>Π</m:t>
                        </m:r>
                      </m:e>
                      <m:sub>
                        <m:r>
                          <w:rPr>
                            <w:rFonts w:ascii="Cambria Math" w:hAnsi="Cambria Math"/>
                            <w:sz w:val="24"/>
                            <w:szCs w:val="24"/>
                          </w:rPr>
                          <m:t>i</m:t>
                        </m:r>
                      </m:sub>
                      <m:sup>
                        <m:r>
                          <w:rPr>
                            <w:rFonts w:ascii="Cambria Math" w:hAnsi="Cambria Math"/>
                            <w:sz w:val="24"/>
                            <w:szCs w:val="24"/>
                          </w:rPr>
                          <m:t>m</m:t>
                        </m:r>
                      </m:sup>
                    </m:sSubSup>
                    <m:sSubSup>
                      <m:sSubSupPr>
                        <m:ctrlPr>
                          <w:rPr>
                            <w:rFonts w:ascii="Cambria Math" w:hAnsi="Cambria Math"/>
                            <w:i/>
                            <w:sz w:val="24"/>
                            <w:szCs w:val="24"/>
                          </w:rPr>
                        </m:ctrlPr>
                      </m:sSubSupPr>
                      <m:e>
                        <m:r>
                          <m:rPr>
                            <m:sty m:val="p"/>
                          </m:rP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m</m:t>
                        </m:r>
                      </m:sup>
                    </m:sSubSup>
                  </m:den>
                </m:f>
              </m:e>
            </m:d>
          </m:e>
          <m:sup>
            <m:r>
              <w:rPr>
                <w:rFonts w:ascii="Cambria Math" w:hAnsi="Cambria Math"/>
                <w:sz w:val="24"/>
                <w:szCs w:val="24"/>
              </w:rPr>
              <m:t>1-σ</m:t>
            </m:r>
          </m:sup>
        </m:sSup>
      </m:oMath>
      <w:r w:rsidR="00D8235F" w:rsidRPr="00531682">
        <w:rPr>
          <w:sz w:val="24"/>
          <w:szCs w:val="24"/>
        </w:rPr>
        <w:t xml:space="preserve"> </w:t>
      </w:r>
      <w:r w:rsidR="00F64FD3" w:rsidRPr="00531682">
        <w:rPr>
          <w:sz w:val="24"/>
          <w:szCs w:val="24"/>
        </w:rPr>
        <w:tab/>
      </w:r>
      <w:r w:rsidR="00F64FD3" w:rsidRPr="00531682">
        <w:rPr>
          <w:sz w:val="24"/>
          <w:szCs w:val="24"/>
        </w:rPr>
        <w:tab/>
      </w:r>
      <w:r w:rsidR="00F64FD3" w:rsidRPr="00531682">
        <w:rPr>
          <w:sz w:val="24"/>
          <w:szCs w:val="24"/>
        </w:rPr>
        <w:tab/>
      </w:r>
      <w:r w:rsidR="00F64FD3" w:rsidRPr="00531682">
        <w:rPr>
          <w:sz w:val="24"/>
          <w:szCs w:val="24"/>
        </w:rPr>
        <w:tab/>
      </w:r>
      <w:r w:rsidR="00F64FD3" w:rsidRPr="00531682">
        <w:rPr>
          <w:sz w:val="24"/>
          <w:szCs w:val="24"/>
        </w:rPr>
        <w:tab/>
      </w:r>
      <w:r w:rsidR="00E64348" w:rsidRPr="00531682">
        <w:rPr>
          <w:sz w:val="24"/>
          <w:szCs w:val="24"/>
        </w:rPr>
        <w:t>(7</w:t>
      </w:r>
      <w:r w:rsidR="00D8235F" w:rsidRPr="00531682">
        <w:rPr>
          <w:sz w:val="24"/>
          <w:szCs w:val="24"/>
        </w:rPr>
        <w:t>)</w:t>
      </w:r>
    </w:p>
    <w:p w14:paraId="406A2883" w14:textId="77777777" w:rsidR="00311051" w:rsidRPr="00531682" w:rsidRDefault="00AA1244" w:rsidP="00F64FD3">
      <w:pPr>
        <w:jc w:val="right"/>
        <w:rPr>
          <w:sz w:val="24"/>
          <w:szCs w:val="24"/>
        </w:rPr>
      </w:pP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ij</m:t>
            </m:r>
          </m:sub>
          <m:sup>
            <m:r>
              <w:rPr>
                <w:rFonts w:ascii="Cambria Math" w:hAnsi="Cambria Math"/>
                <w:sz w:val="24"/>
                <w:szCs w:val="24"/>
              </w:rPr>
              <m:t>f</m:t>
            </m:r>
          </m:sup>
        </m:sSub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num>
          <m:den>
            <m:r>
              <w:rPr>
                <w:rFonts w:ascii="Cambria Math" w:hAnsi="Cambria Math"/>
                <w:sz w:val="24"/>
                <w:szCs w:val="24"/>
              </w:rPr>
              <m:t>Y</m:t>
            </m:r>
          </m:den>
        </m:f>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ij</m:t>
                        </m:r>
                      </m:sub>
                      <m:sup>
                        <m:r>
                          <w:rPr>
                            <w:rFonts w:ascii="Cambria Math" w:hAnsi="Cambria Math"/>
                            <w:sz w:val="24"/>
                            <w:szCs w:val="24"/>
                          </w:rPr>
                          <m:t>f</m:t>
                        </m:r>
                      </m:sup>
                    </m:sSubSup>
                  </m:num>
                  <m:den>
                    <m:sSubSup>
                      <m:sSubSupPr>
                        <m:ctrlPr>
                          <w:rPr>
                            <w:rFonts w:ascii="Cambria Math" w:hAnsi="Cambria Math"/>
                            <w:i/>
                            <w:sz w:val="24"/>
                            <w:szCs w:val="24"/>
                          </w:rPr>
                        </m:ctrlPr>
                      </m:sSubSupPr>
                      <m:e>
                        <m:r>
                          <m:rPr>
                            <m:sty m:val="p"/>
                          </m:rPr>
                          <w:rPr>
                            <w:rFonts w:ascii="Cambria Math" w:hAnsi="Cambria Math"/>
                            <w:sz w:val="24"/>
                            <w:szCs w:val="24"/>
                          </w:rPr>
                          <m:t>Π</m:t>
                        </m:r>
                      </m:e>
                      <m:sub>
                        <m:r>
                          <w:rPr>
                            <w:rFonts w:ascii="Cambria Math" w:hAnsi="Cambria Math"/>
                            <w:sz w:val="24"/>
                            <w:szCs w:val="24"/>
                          </w:rPr>
                          <m:t>i</m:t>
                        </m:r>
                      </m:sub>
                      <m:sup>
                        <m:r>
                          <w:rPr>
                            <w:rFonts w:ascii="Cambria Math" w:hAnsi="Cambria Math"/>
                            <w:sz w:val="24"/>
                            <w:szCs w:val="24"/>
                          </w:rPr>
                          <m:t>f</m:t>
                        </m:r>
                      </m:sup>
                    </m:sSubSup>
                    <m:sSubSup>
                      <m:sSubSupPr>
                        <m:ctrlPr>
                          <w:rPr>
                            <w:rFonts w:ascii="Cambria Math" w:hAnsi="Cambria Math"/>
                            <w:i/>
                            <w:sz w:val="24"/>
                            <w:szCs w:val="24"/>
                          </w:rPr>
                        </m:ctrlPr>
                      </m:sSubSupPr>
                      <m:e>
                        <m:r>
                          <m:rPr>
                            <m:sty m:val="p"/>
                          </m:rP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f</m:t>
                        </m:r>
                      </m:sup>
                    </m:sSubSup>
                  </m:den>
                </m:f>
              </m:e>
            </m:d>
          </m:e>
          <m:sup>
            <m:r>
              <w:rPr>
                <w:rFonts w:ascii="Cambria Math" w:hAnsi="Cambria Math"/>
                <w:sz w:val="24"/>
                <w:szCs w:val="24"/>
              </w:rPr>
              <m:t>1-σ</m:t>
            </m:r>
          </m:sup>
        </m:sSup>
      </m:oMath>
      <w:r w:rsidR="00D8235F" w:rsidRPr="00531682">
        <w:rPr>
          <w:sz w:val="24"/>
          <w:szCs w:val="24"/>
        </w:rPr>
        <w:t xml:space="preserve"> </w:t>
      </w:r>
      <w:r w:rsidR="00F64FD3" w:rsidRPr="00531682">
        <w:rPr>
          <w:sz w:val="24"/>
          <w:szCs w:val="24"/>
        </w:rPr>
        <w:tab/>
      </w:r>
      <w:r w:rsidR="00F64FD3" w:rsidRPr="00531682">
        <w:rPr>
          <w:sz w:val="24"/>
          <w:szCs w:val="24"/>
        </w:rPr>
        <w:tab/>
      </w:r>
      <w:r w:rsidR="00F64FD3" w:rsidRPr="00531682">
        <w:rPr>
          <w:sz w:val="24"/>
          <w:szCs w:val="24"/>
        </w:rPr>
        <w:tab/>
      </w:r>
      <w:r w:rsidR="00F64FD3" w:rsidRPr="00531682">
        <w:rPr>
          <w:sz w:val="24"/>
          <w:szCs w:val="24"/>
        </w:rPr>
        <w:tab/>
      </w:r>
      <w:r w:rsidR="00F64FD3" w:rsidRPr="00531682">
        <w:rPr>
          <w:sz w:val="24"/>
          <w:szCs w:val="24"/>
        </w:rPr>
        <w:tab/>
      </w:r>
      <w:r w:rsidR="00E64348" w:rsidRPr="00531682">
        <w:rPr>
          <w:sz w:val="24"/>
          <w:szCs w:val="24"/>
        </w:rPr>
        <w:t>(8</w:t>
      </w:r>
      <w:r w:rsidR="00D8235F" w:rsidRPr="00531682">
        <w:rPr>
          <w:sz w:val="24"/>
          <w:szCs w:val="24"/>
        </w:rPr>
        <w:t>)</w:t>
      </w:r>
    </w:p>
    <w:p w14:paraId="43A0FA5D" w14:textId="77777777" w:rsidR="00311051" w:rsidRPr="00531682" w:rsidRDefault="00311051" w:rsidP="00316019">
      <w:pPr>
        <w:jc w:val="both"/>
        <w:rPr>
          <w:sz w:val="24"/>
          <w:szCs w:val="24"/>
        </w:rPr>
      </w:pPr>
      <w:r w:rsidRPr="00531682">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oMath>
      <w:r w:rsidR="0080697A" w:rsidRPr="00531682">
        <w:rPr>
          <w:sz w:val="24"/>
          <w:szCs w:val="24"/>
        </w:rPr>
        <w:t xml:space="preserve"> </w:t>
      </w:r>
      <w:r w:rsidRPr="00531682">
        <w:rPr>
          <w:sz w:val="24"/>
          <w:szCs w:val="24"/>
        </w:rPr>
        <w:t>is the share of intermediate expenditure in total sales.</w:t>
      </w:r>
      <w:r w:rsidR="0080697A" w:rsidRPr="00531682">
        <w:rPr>
          <w:sz w:val="24"/>
          <w:szCs w:val="24"/>
        </w:rPr>
        <w:t xml:space="preserve"> For simplicity, we assume that there is the same elasticity of substitution among varieties of intermediate and final products but we could have different elasticities in the above equations.</w:t>
      </w:r>
      <w:r w:rsidR="0080697A" w:rsidRPr="00531682">
        <w:rPr>
          <w:rStyle w:val="FootnoteReference"/>
          <w:sz w:val="24"/>
          <w:szCs w:val="24"/>
        </w:rPr>
        <w:footnoteReference w:id="2"/>
      </w:r>
      <w:r w:rsidR="0080697A" w:rsidRPr="00531682">
        <w:rPr>
          <w:sz w:val="24"/>
          <w:szCs w:val="24"/>
        </w:rPr>
        <w:t xml:space="preserve"> Unlike Noguera</w:t>
      </w:r>
      <w:r w:rsidR="003C257D" w:rsidRPr="00531682">
        <w:rPr>
          <w:sz w:val="24"/>
          <w:szCs w:val="24"/>
        </w:rPr>
        <w:t xml:space="preserve"> (2012)</w:t>
      </w:r>
      <w:r w:rsidR="0080697A" w:rsidRPr="00531682">
        <w:rPr>
          <w:sz w:val="24"/>
          <w:szCs w:val="24"/>
        </w:rPr>
        <w:t>, we do not assume that trade costs (and multilateral resistance terms) are the same for intermediate and final products, precisely because we are interested in analysing the difference between the two.</w:t>
      </w:r>
    </w:p>
    <w:p w14:paraId="11B19449" w14:textId="16132E5B" w:rsidR="00E64348" w:rsidRPr="00531682" w:rsidRDefault="000A1398" w:rsidP="00316019">
      <w:pPr>
        <w:jc w:val="both"/>
        <w:rPr>
          <w:sz w:val="24"/>
          <w:szCs w:val="24"/>
        </w:rPr>
      </w:pPr>
      <w:r w:rsidRPr="00531682">
        <w:rPr>
          <w:sz w:val="24"/>
          <w:szCs w:val="24"/>
        </w:rPr>
        <w:lastRenderedPageBreak/>
        <w:t xml:space="preserve">The next step is to look at the product of outward and inward multilateral resistance. </w:t>
      </w:r>
      <w:r w:rsidR="00E64348" w:rsidRPr="00531682">
        <w:rPr>
          <w:sz w:val="24"/>
          <w:szCs w:val="24"/>
        </w:rPr>
        <w:t xml:space="preserve">For intermediate services, </w:t>
      </w:r>
      <w:r w:rsidRPr="00531682">
        <w:rPr>
          <w:sz w:val="24"/>
          <w:szCs w:val="24"/>
        </w:rPr>
        <w:t xml:space="preserve">we use equation (7) for country’s </w:t>
      </w:r>
      <w:r w:rsidRPr="00531682">
        <w:rPr>
          <w:i/>
          <w:sz w:val="24"/>
          <w:szCs w:val="24"/>
        </w:rPr>
        <w:t>i</w:t>
      </w:r>
      <w:r w:rsidRPr="00531682">
        <w:rPr>
          <w:sz w:val="24"/>
          <w:szCs w:val="24"/>
        </w:rPr>
        <w:t xml:space="preserve"> </w:t>
      </w:r>
      <w:proofErr w:type="spellStart"/>
      <w:r w:rsidRPr="00531682">
        <w:rPr>
          <w:sz w:val="24"/>
          <w:szCs w:val="24"/>
        </w:rPr>
        <w:t>intranational</w:t>
      </w:r>
      <w:proofErr w:type="spellEnd"/>
      <w:r w:rsidRPr="00531682">
        <w:rPr>
          <w:sz w:val="24"/>
          <w:szCs w:val="24"/>
        </w:rPr>
        <w:t xml:space="preserve"> trade (</w:t>
      </w: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ii</m:t>
            </m:r>
          </m:sub>
          <m:sup>
            <m:r>
              <w:rPr>
                <w:rFonts w:ascii="Cambria Math" w:hAnsi="Cambria Math"/>
                <w:sz w:val="24"/>
                <w:szCs w:val="24"/>
              </w:rPr>
              <m:t>m</m:t>
            </m:r>
          </m:sup>
        </m:sSubSup>
      </m:oMath>
      <w:r w:rsidRPr="00531682">
        <w:rPr>
          <w:sz w:val="24"/>
          <w:szCs w:val="24"/>
        </w:rPr>
        <w:t>)</w:t>
      </w:r>
      <w:r w:rsidR="00C147CC">
        <w:rPr>
          <w:sz w:val="24"/>
          <w:szCs w:val="24"/>
        </w:rPr>
        <w:t>, i.e. goods both produced and sold in the same country,</w:t>
      </w:r>
      <w:r w:rsidRPr="00531682">
        <w:rPr>
          <w:sz w:val="24"/>
          <w:szCs w:val="24"/>
        </w:rPr>
        <w:t xml:space="preserve"> and for country’s </w:t>
      </w:r>
      <w:r w:rsidRPr="00531682">
        <w:rPr>
          <w:i/>
          <w:sz w:val="24"/>
          <w:szCs w:val="24"/>
        </w:rPr>
        <w:t>j</w:t>
      </w:r>
      <w:r w:rsidRPr="00531682">
        <w:rPr>
          <w:sz w:val="24"/>
          <w:szCs w:val="24"/>
        </w:rPr>
        <w:t xml:space="preserve"> intranational trade (</w:t>
      </w: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jj</m:t>
            </m:r>
          </m:sub>
          <m:sup>
            <m:r>
              <w:rPr>
                <w:rFonts w:ascii="Cambria Math" w:hAnsi="Cambria Math"/>
                <w:sz w:val="24"/>
                <w:szCs w:val="24"/>
              </w:rPr>
              <m:t>m</m:t>
            </m:r>
          </m:sup>
        </m:sSubSup>
      </m:oMath>
      <w:r w:rsidRPr="00531682">
        <w:rPr>
          <w:sz w:val="24"/>
          <w:szCs w:val="24"/>
        </w:rPr>
        <w:t>). It gives us:</w:t>
      </w:r>
    </w:p>
    <w:p w14:paraId="64926778" w14:textId="77777777" w:rsidR="00E64348" w:rsidRPr="00531682" w:rsidRDefault="00AA1244" w:rsidP="00E64348">
      <w:pPr>
        <w:jc w:val="right"/>
        <w:rPr>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Π</m:t>
            </m:r>
          </m:e>
          <m:sub>
            <m:r>
              <w:rPr>
                <w:rFonts w:ascii="Cambria Math" w:hAnsi="Cambria Math"/>
                <w:sz w:val="24"/>
                <w:szCs w:val="24"/>
              </w:rPr>
              <m:t>i</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i</m:t>
            </m:r>
          </m:sub>
          <m:sup>
            <m:r>
              <w:rPr>
                <w:rFonts w:ascii="Cambria Math" w:hAnsi="Cambria Math"/>
                <w:sz w:val="24"/>
                <w:szCs w:val="24"/>
              </w:rPr>
              <m:t>m</m:t>
            </m:r>
          </m:sup>
        </m:sSub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i</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num>
                  <m:den>
                    <m:r>
                      <w:rPr>
                        <w:rFonts w:ascii="Cambria Math" w:hAnsi="Cambria Math"/>
                        <w:sz w:val="24"/>
                        <w:szCs w:val="24"/>
                      </w:rPr>
                      <m:t>Y</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ii</m:t>
                        </m:r>
                      </m:sub>
                    </m:sSub>
                  </m:den>
                </m:f>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1-σ</m:t>
                </m:r>
              </m:den>
            </m:f>
          </m:sup>
        </m:s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ii</m:t>
            </m:r>
          </m:sub>
          <m:sup>
            <m:r>
              <w:rPr>
                <w:rFonts w:ascii="Cambria Math" w:hAnsi="Cambria Math"/>
                <w:sz w:val="24"/>
                <w:szCs w:val="24"/>
              </w:rPr>
              <m:t>m</m:t>
            </m:r>
          </m:sup>
        </m:sSubSup>
      </m:oMath>
      <w:r w:rsidR="00E64348" w:rsidRPr="00531682">
        <w:rPr>
          <w:sz w:val="24"/>
          <w:szCs w:val="24"/>
        </w:rPr>
        <w:t xml:space="preserve"> </w:t>
      </w:r>
      <w:r w:rsidR="00E64348" w:rsidRPr="00531682">
        <w:rPr>
          <w:sz w:val="24"/>
          <w:szCs w:val="24"/>
        </w:rPr>
        <w:tab/>
      </w:r>
      <w:r w:rsidR="00E64348" w:rsidRPr="00531682">
        <w:rPr>
          <w:sz w:val="24"/>
          <w:szCs w:val="24"/>
        </w:rPr>
        <w:tab/>
      </w:r>
      <w:r w:rsidR="00E64348" w:rsidRPr="00531682">
        <w:rPr>
          <w:sz w:val="24"/>
          <w:szCs w:val="24"/>
        </w:rPr>
        <w:tab/>
      </w:r>
      <w:r w:rsidR="00E64348" w:rsidRPr="00531682">
        <w:rPr>
          <w:sz w:val="24"/>
          <w:szCs w:val="24"/>
        </w:rPr>
        <w:tab/>
      </w:r>
      <w:r w:rsidR="00E64348" w:rsidRPr="00531682">
        <w:rPr>
          <w:sz w:val="24"/>
          <w:szCs w:val="24"/>
        </w:rPr>
        <w:tab/>
        <w:t>(9)</w:t>
      </w:r>
    </w:p>
    <w:p w14:paraId="5F985436" w14:textId="77777777" w:rsidR="00E64348" w:rsidRPr="00531682" w:rsidRDefault="00AA1244" w:rsidP="00E64348">
      <w:pPr>
        <w:jc w:val="right"/>
        <w:rPr>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 xml:space="preserve">  Π</m:t>
            </m:r>
          </m:e>
          <m:sub>
            <m:r>
              <w:rPr>
                <w:rFonts w:ascii="Cambria Math" w:hAnsi="Cambria Math"/>
                <w:sz w:val="24"/>
                <w:szCs w:val="24"/>
              </w:rPr>
              <m:t>j</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m</m:t>
            </m:r>
          </m:sup>
        </m:sSub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j</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num>
                  <m:den>
                    <m:r>
                      <w:rPr>
                        <w:rFonts w:ascii="Cambria Math" w:hAnsi="Cambria Math"/>
                        <w:sz w:val="24"/>
                        <w:szCs w:val="24"/>
                      </w:rPr>
                      <m:t>Y</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jj</m:t>
                        </m:r>
                      </m:sub>
                    </m:sSub>
                  </m:den>
                </m:f>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1-σ</m:t>
                </m:r>
              </m:den>
            </m:f>
          </m:sup>
        </m:s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jj</m:t>
            </m:r>
          </m:sub>
          <m:sup>
            <m:r>
              <w:rPr>
                <w:rFonts w:ascii="Cambria Math" w:hAnsi="Cambria Math"/>
                <w:sz w:val="24"/>
                <w:szCs w:val="24"/>
              </w:rPr>
              <m:t>m</m:t>
            </m:r>
          </m:sup>
        </m:sSubSup>
      </m:oMath>
      <w:r w:rsidR="00E64348" w:rsidRPr="00531682">
        <w:rPr>
          <w:sz w:val="24"/>
          <w:szCs w:val="24"/>
        </w:rPr>
        <w:t xml:space="preserve"> </w:t>
      </w:r>
      <w:r w:rsidR="00E64348" w:rsidRPr="00531682">
        <w:rPr>
          <w:sz w:val="24"/>
          <w:szCs w:val="24"/>
        </w:rPr>
        <w:tab/>
      </w:r>
      <w:r w:rsidR="000A1398" w:rsidRPr="00531682">
        <w:rPr>
          <w:sz w:val="24"/>
          <w:szCs w:val="24"/>
        </w:rPr>
        <w:tab/>
      </w:r>
      <w:r w:rsidR="00E64348" w:rsidRPr="00531682">
        <w:rPr>
          <w:sz w:val="24"/>
          <w:szCs w:val="24"/>
        </w:rPr>
        <w:tab/>
      </w:r>
      <w:r w:rsidR="00E64348" w:rsidRPr="00531682">
        <w:rPr>
          <w:sz w:val="24"/>
          <w:szCs w:val="24"/>
        </w:rPr>
        <w:tab/>
      </w:r>
      <w:r w:rsidR="00E64348" w:rsidRPr="00531682">
        <w:rPr>
          <w:sz w:val="24"/>
          <w:szCs w:val="24"/>
        </w:rPr>
        <w:tab/>
        <w:t>(10)</w:t>
      </w:r>
    </w:p>
    <w:p w14:paraId="71E391DA" w14:textId="77777777" w:rsidR="0023271C" w:rsidRPr="00531682" w:rsidRDefault="0023271C" w:rsidP="00AA369D">
      <w:pPr>
        <w:rPr>
          <w:sz w:val="24"/>
          <w:szCs w:val="24"/>
        </w:rPr>
      </w:pPr>
      <w:r w:rsidRPr="00531682">
        <w:rPr>
          <w:sz w:val="24"/>
          <w:szCs w:val="24"/>
        </w:rPr>
        <w:t>The product of the gravity equations for intermediate services in both directions is then:</w:t>
      </w:r>
    </w:p>
    <w:p w14:paraId="425F4A29" w14:textId="77777777" w:rsidR="0023271C" w:rsidRPr="00531682" w:rsidRDefault="00AA1244" w:rsidP="0023271C">
      <w:pPr>
        <w:jc w:val="right"/>
        <w:rPr>
          <w:sz w:val="24"/>
          <w:szCs w:val="24"/>
        </w:rPr>
      </w:pPr>
      <m:oMathPara>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ij</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ji</m:t>
              </m:r>
            </m:sub>
            <m:sup>
              <m:r>
                <w:rPr>
                  <w:rFonts w:ascii="Cambria Math" w:hAnsi="Cambria Math"/>
                  <w:sz w:val="24"/>
                  <w:szCs w:val="24"/>
                </w:rPr>
                <m:t>m</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num>
                    <m:den>
                      <m:r>
                        <w:rPr>
                          <w:rFonts w:ascii="Cambria Math" w:hAnsi="Cambria Math"/>
                          <w:sz w:val="24"/>
                          <w:szCs w:val="24"/>
                        </w:rPr>
                        <m:t>Y</m:t>
                      </m:r>
                    </m:den>
                  </m:f>
                </m:e>
              </m:d>
            </m:e>
            <m:sup>
              <m:r>
                <w:rPr>
                  <w:rFonts w:ascii="Cambria Math" w:hAnsi="Cambria Math"/>
                  <w:sz w:val="24"/>
                  <w:szCs w:val="24"/>
                </w:rPr>
                <m:t>2</m:t>
              </m:r>
            </m:sup>
          </m:sSup>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ij</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ji</m:t>
                          </m:r>
                        </m:sub>
                        <m:sup>
                          <m:r>
                            <w:rPr>
                              <w:rFonts w:ascii="Cambria Math" w:hAnsi="Cambria Math"/>
                              <w:sz w:val="24"/>
                              <w:szCs w:val="24"/>
                            </w:rPr>
                            <m:t>m</m:t>
                          </m:r>
                        </m:sup>
                      </m:sSubSup>
                    </m:num>
                    <m:den>
                      <m:sSubSup>
                        <m:sSubSupPr>
                          <m:ctrlPr>
                            <w:rPr>
                              <w:rFonts w:ascii="Cambria Math" w:hAnsi="Cambria Math"/>
                              <w:sz w:val="24"/>
                              <w:szCs w:val="24"/>
                            </w:rPr>
                          </m:ctrlPr>
                        </m:sSubSupPr>
                        <m:e>
                          <m:r>
                            <m:rPr>
                              <m:sty m:val="p"/>
                            </m:rPr>
                            <w:rPr>
                              <w:rFonts w:ascii="Cambria Math" w:hAnsi="Cambria Math"/>
                              <w:sz w:val="24"/>
                              <w:szCs w:val="24"/>
                            </w:rPr>
                            <m:t>Π</m:t>
                          </m:r>
                        </m:e>
                        <m:sub>
                          <m:r>
                            <w:rPr>
                              <w:rFonts w:ascii="Cambria Math" w:hAnsi="Cambria Math"/>
                              <w:sz w:val="24"/>
                              <w:szCs w:val="24"/>
                            </w:rPr>
                            <m:t>i</m:t>
                          </m:r>
                        </m:sub>
                        <m:sup>
                          <m:r>
                            <w:rPr>
                              <w:rFonts w:ascii="Cambria Math" w:hAnsi="Cambria Math"/>
                              <w:sz w:val="24"/>
                              <w:szCs w:val="24"/>
                            </w:rPr>
                            <m:t>m</m:t>
                          </m:r>
                        </m:sup>
                      </m:sSubSup>
                      <m:sSubSup>
                        <m:sSubSupPr>
                          <m:ctrlPr>
                            <w:rPr>
                              <w:rFonts w:ascii="Cambria Math" w:hAnsi="Cambria Math"/>
                              <w:sz w:val="24"/>
                              <w:szCs w:val="24"/>
                            </w:rPr>
                          </m:ctrlPr>
                        </m:sSubSupPr>
                        <m:e>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i</m:t>
                              </m:r>
                            </m:sub>
                            <m:sup>
                              <m:r>
                                <w:rPr>
                                  <w:rFonts w:ascii="Cambria Math" w:hAnsi="Cambria Math"/>
                                  <w:sz w:val="24"/>
                                  <w:szCs w:val="24"/>
                                </w:rPr>
                                <m:t>m</m:t>
                              </m:r>
                            </m:sup>
                          </m:sSubSup>
                          <m:r>
                            <m:rPr>
                              <m:sty m:val="p"/>
                            </m:rPr>
                            <w:rPr>
                              <w:rFonts w:ascii="Cambria Math" w:hAnsi="Cambria Math"/>
                              <w:sz w:val="24"/>
                              <w:szCs w:val="24"/>
                            </w:rPr>
                            <m:t>Π</m:t>
                          </m:r>
                        </m:e>
                        <m:sub>
                          <m:r>
                            <w:rPr>
                              <w:rFonts w:ascii="Cambria Math" w:hAnsi="Cambria Math"/>
                              <w:sz w:val="24"/>
                              <w:szCs w:val="24"/>
                            </w:rPr>
                            <m:t>j</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m</m:t>
                          </m:r>
                        </m:sup>
                      </m:sSubSup>
                    </m:den>
                  </m:f>
                </m:e>
              </m:d>
            </m:e>
            <m:sup>
              <m:r>
                <w:rPr>
                  <w:rFonts w:ascii="Cambria Math" w:hAnsi="Cambria Math"/>
                  <w:sz w:val="24"/>
                  <w:szCs w:val="24"/>
                </w:rPr>
                <m:t>1-σ</m:t>
              </m:r>
            </m:sup>
          </m:sSup>
        </m:oMath>
      </m:oMathPara>
    </w:p>
    <w:p w14:paraId="5CACEB5F" w14:textId="77777777" w:rsidR="0023271C" w:rsidRPr="00531682" w:rsidRDefault="0023271C" w:rsidP="0023271C">
      <w:pPr>
        <w:jc w:val="right"/>
        <w:rPr>
          <w:sz w:val="24"/>
          <w:szCs w:val="24"/>
        </w:rPr>
      </w:pPr>
      <w:r w:rsidRPr="00531682">
        <w:rPr>
          <w:sz w:val="24"/>
          <w:szCs w:val="24"/>
        </w:rPr>
        <w:t xml:space="preserv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num>
                  <m:den>
                    <m:r>
                      <w:rPr>
                        <w:rFonts w:ascii="Cambria Math" w:hAnsi="Cambria Math"/>
                        <w:sz w:val="24"/>
                        <w:szCs w:val="24"/>
                      </w:rPr>
                      <m:t>Y</m:t>
                    </m:r>
                  </m:den>
                </m:f>
              </m:e>
            </m:d>
          </m:e>
          <m:sup>
            <m:r>
              <w:rPr>
                <w:rFonts w:ascii="Cambria Math" w:hAnsi="Cambria Math"/>
                <w:sz w:val="24"/>
                <w:szCs w:val="24"/>
              </w:rPr>
              <m:t>2</m:t>
            </m:r>
          </m:sup>
        </m:sSup>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ij</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ji</m:t>
                        </m:r>
                      </m:sub>
                      <m:sup>
                        <m:r>
                          <w:rPr>
                            <w:rFonts w:ascii="Cambria Math" w:hAnsi="Cambria Math"/>
                            <w:sz w:val="24"/>
                            <w:szCs w:val="24"/>
                          </w:rPr>
                          <m:t>m</m:t>
                        </m:r>
                      </m:sup>
                    </m:sSubSup>
                  </m:num>
                  <m:den>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i</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num>
                              <m:den>
                                <m:r>
                                  <w:rPr>
                                    <w:rFonts w:ascii="Cambria Math" w:hAnsi="Cambria Math"/>
                                    <w:sz w:val="24"/>
                                    <w:szCs w:val="24"/>
                                  </w:rPr>
                                  <m:t>Y</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ii</m:t>
                                    </m:r>
                                  </m:sub>
                                </m:sSub>
                              </m:den>
                            </m:f>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1-σ</m:t>
                            </m:r>
                          </m:den>
                        </m:f>
                      </m:sup>
                    </m:s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ii</m:t>
                        </m:r>
                      </m:sub>
                      <m:sup>
                        <m:r>
                          <w:rPr>
                            <w:rFonts w:ascii="Cambria Math" w:hAnsi="Cambria Math"/>
                            <w:sz w:val="24"/>
                            <w:szCs w:val="24"/>
                          </w:rPr>
                          <m:t>m</m:t>
                        </m:r>
                      </m:sup>
                    </m:sSubSup>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j</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num>
                              <m:den>
                                <m:r>
                                  <w:rPr>
                                    <w:rFonts w:ascii="Cambria Math" w:hAnsi="Cambria Math"/>
                                    <w:sz w:val="24"/>
                                    <w:szCs w:val="24"/>
                                  </w:rPr>
                                  <m:t>Y</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jj</m:t>
                                    </m:r>
                                  </m:sub>
                                </m:sSub>
                              </m:den>
                            </m:f>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1-σ</m:t>
                            </m:r>
                          </m:den>
                        </m:f>
                      </m:sup>
                    </m:s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jj</m:t>
                        </m:r>
                      </m:sub>
                      <m:sup>
                        <m:r>
                          <w:rPr>
                            <w:rFonts w:ascii="Cambria Math" w:hAnsi="Cambria Math"/>
                            <w:sz w:val="24"/>
                            <w:szCs w:val="24"/>
                          </w:rPr>
                          <m:t>m</m:t>
                        </m:r>
                      </m:sup>
                    </m:sSubSup>
                  </m:den>
                </m:f>
              </m:e>
            </m:d>
          </m:e>
          <m:sup>
            <m:r>
              <w:rPr>
                <w:rFonts w:ascii="Cambria Math" w:hAnsi="Cambria Math"/>
                <w:sz w:val="24"/>
                <w:szCs w:val="24"/>
              </w:rPr>
              <m:t>1-σ</m:t>
            </m:r>
          </m:sup>
        </m:sSup>
      </m:oMath>
      <w:r w:rsidRPr="00531682">
        <w:rPr>
          <w:sz w:val="24"/>
          <w:szCs w:val="24"/>
        </w:rPr>
        <w:tab/>
      </w:r>
      <w:r w:rsidRPr="00531682">
        <w:rPr>
          <w:sz w:val="24"/>
          <w:szCs w:val="24"/>
        </w:rPr>
        <w:tab/>
      </w:r>
      <w:r w:rsidRPr="00531682">
        <w:rPr>
          <w:sz w:val="24"/>
          <w:szCs w:val="24"/>
        </w:rPr>
        <w:tab/>
      </w:r>
    </w:p>
    <w:p w14:paraId="70CE8B9A" w14:textId="77777777" w:rsidR="0023271C" w:rsidRPr="00531682" w:rsidRDefault="000F17CB" w:rsidP="000F17CB">
      <w:pPr>
        <w:ind w:right="360"/>
        <w:jc w:val="right"/>
        <w:rPr>
          <w:sz w:val="24"/>
          <w:szCs w:val="24"/>
        </w:rPr>
      </w:pPr>
      <w:r w:rsidRPr="00531682">
        <w:rPr>
          <w:sz w:val="24"/>
          <w:szCs w:val="24"/>
        </w:rPr>
        <w:t xml:space="preserve">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ii</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jj</m:t>
            </m:r>
          </m:sub>
          <m:sup>
            <m:r>
              <w:rPr>
                <w:rFonts w:ascii="Cambria Math" w:hAnsi="Cambria Math"/>
                <w:sz w:val="24"/>
                <w:szCs w:val="24"/>
              </w:rPr>
              <m:t>m</m:t>
            </m:r>
          </m:sup>
        </m:sSubSup>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ij</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ji</m:t>
                        </m:r>
                      </m:sub>
                      <m:sup>
                        <m:r>
                          <w:rPr>
                            <w:rFonts w:ascii="Cambria Math" w:hAnsi="Cambria Math"/>
                            <w:sz w:val="24"/>
                            <w:szCs w:val="24"/>
                          </w:rPr>
                          <m:t>m</m:t>
                        </m:r>
                      </m:sup>
                    </m:sSubSup>
                  </m:num>
                  <m:den>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ii</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jj</m:t>
                        </m:r>
                      </m:sub>
                      <m:sup>
                        <m:r>
                          <w:rPr>
                            <w:rFonts w:ascii="Cambria Math" w:hAnsi="Cambria Math"/>
                            <w:sz w:val="24"/>
                            <w:szCs w:val="24"/>
                          </w:rPr>
                          <m:t>m</m:t>
                        </m:r>
                      </m:sup>
                    </m:sSubSup>
                  </m:den>
                </m:f>
              </m:e>
            </m:d>
          </m:e>
          <m:sup>
            <m:r>
              <w:rPr>
                <w:rFonts w:ascii="Cambria Math" w:hAnsi="Cambria Math"/>
                <w:sz w:val="24"/>
                <w:szCs w:val="24"/>
              </w:rPr>
              <m:t>(1-σ)</m:t>
            </m:r>
          </m:sup>
        </m:sSup>
      </m:oMath>
      <w:r w:rsidR="0023271C" w:rsidRPr="00531682">
        <w:rPr>
          <w:sz w:val="24"/>
          <w:szCs w:val="24"/>
        </w:rPr>
        <w:tab/>
      </w:r>
      <w:r w:rsidR="0023271C" w:rsidRPr="00531682">
        <w:rPr>
          <w:sz w:val="24"/>
          <w:szCs w:val="24"/>
        </w:rPr>
        <w:tab/>
      </w:r>
      <w:r w:rsidRPr="00531682">
        <w:rPr>
          <w:sz w:val="24"/>
          <w:szCs w:val="24"/>
        </w:rPr>
        <w:tab/>
      </w:r>
      <w:r w:rsidRPr="00531682">
        <w:rPr>
          <w:sz w:val="24"/>
          <w:szCs w:val="24"/>
        </w:rPr>
        <w:tab/>
      </w:r>
      <w:r w:rsidRPr="00531682">
        <w:rPr>
          <w:sz w:val="24"/>
          <w:szCs w:val="24"/>
        </w:rPr>
        <w:tab/>
      </w:r>
    </w:p>
    <w:p w14:paraId="3ECE88F5" w14:textId="77777777" w:rsidR="000F17CB" w:rsidRPr="00531682" w:rsidRDefault="000F17CB" w:rsidP="000F17CB">
      <w:pPr>
        <w:jc w:val="right"/>
        <w:rPr>
          <w:sz w:val="24"/>
          <w:szCs w:val="24"/>
        </w:rPr>
      </w:pPr>
      <w:r w:rsidRPr="00531682">
        <w:rPr>
          <w:sz w:val="24"/>
          <w:szCs w:val="24"/>
        </w:rPr>
        <w:t xml:space="preserve">And </w:t>
      </w:r>
      <w:r w:rsidRPr="00531682">
        <w:rPr>
          <w:sz w:val="24"/>
          <w:szCs w:val="24"/>
        </w:rPr>
        <w:tab/>
        <w:t xml:space="preserve">          </w:t>
      </w:r>
      <m:oMath>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ij</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ji</m:t>
                </m:r>
              </m:sub>
              <m:sup>
                <m:r>
                  <w:rPr>
                    <w:rFonts w:ascii="Cambria Math" w:hAnsi="Cambria Math"/>
                    <w:sz w:val="24"/>
                    <w:szCs w:val="24"/>
                  </w:rPr>
                  <m:t>m</m:t>
                </m:r>
              </m:sup>
            </m:sSubSup>
          </m:num>
          <m:den>
            <m:sSubSup>
              <m:sSubSupPr>
                <m:ctrlPr>
                  <w:rPr>
                    <w:rFonts w:ascii="Cambria Math" w:hAnsi="Cambria Math"/>
                    <w:sz w:val="24"/>
                    <w:szCs w:val="24"/>
                  </w:rPr>
                </m:ctrlPr>
              </m:sSubSupPr>
              <m:e>
                <m:r>
                  <m:rPr>
                    <m:sty m:val="p"/>
                  </m:rPr>
                  <w:rPr>
                    <w:rFonts w:ascii="Cambria Math" w:hAnsi="Cambria Math"/>
                    <w:sz w:val="24"/>
                    <w:szCs w:val="24"/>
                  </w:rPr>
                  <m:t>t</m:t>
                </m:r>
              </m:e>
              <m:sub>
                <m:r>
                  <w:rPr>
                    <w:rFonts w:ascii="Cambria Math" w:hAnsi="Cambria Math"/>
                    <w:sz w:val="24"/>
                    <w:szCs w:val="24"/>
                  </w:rPr>
                  <m:t>ii</m:t>
                </m:r>
              </m:sub>
              <m:sup>
                <m:r>
                  <w:rPr>
                    <w:rFonts w:ascii="Cambria Math" w:hAnsi="Cambria Math"/>
                    <w:sz w:val="24"/>
                    <w:szCs w:val="24"/>
                  </w:rPr>
                  <m:t>m</m:t>
                </m:r>
              </m:sup>
            </m:sSubSup>
            <m:sSubSup>
              <m:sSubSupPr>
                <m:ctrlPr>
                  <w:rPr>
                    <w:rFonts w:ascii="Cambria Math" w:hAnsi="Cambria Math"/>
                    <w:sz w:val="24"/>
                    <w:szCs w:val="24"/>
                  </w:rPr>
                </m:ctrlPr>
              </m:sSubSupPr>
              <m:e>
                <m:r>
                  <m:rPr>
                    <m:sty m:val="p"/>
                  </m:rPr>
                  <w:rPr>
                    <w:rFonts w:ascii="Cambria Math" w:hAnsi="Cambria Math"/>
                    <w:sz w:val="24"/>
                    <w:szCs w:val="24"/>
                  </w:rPr>
                  <m:t>t</m:t>
                </m:r>
              </m:e>
              <m:sub>
                <m:r>
                  <w:rPr>
                    <w:rFonts w:ascii="Cambria Math" w:hAnsi="Cambria Math"/>
                    <w:sz w:val="24"/>
                    <w:szCs w:val="24"/>
                  </w:rPr>
                  <m:t>jj</m:t>
                </m:r>
              </m:sub>
              <m:sup>
                <m:r>
                  <w:rPr>
                    <w:rFonts w:ascii="Cambria Math" w:hAnsi="Cambria Math"/>
                    <w:sz w:val="24"/>
                    <w:szCs w:val="24"/>
                  </w:rPr>
                  <m:t>m</m:t>
                </m:r>
              </m:sup>
            </m:sSubSup>
          </m:den>
        </m:f>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ii</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jj</m:t>
                        </m:r>
                      </m:sub>
                      <m:sup>
                        <m:r>
                          <w:rPr>
                            <w:rFonts w:ascii="Cambria Math" w:hAnsi="Cambria Math"/>
                            <w:sz w:val="24"/>
                            <w:szCs w:val="24"/>
                          </w:rPr>
                          <m:t>m</m:t>
                        </m:r>
                      </m:sup>
                    </m:sSubSup>
                  </m:num>
                  <m:den>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ij</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ji</m:t>
                        </m:r>
                      </m:sub>
                      <m:sup>
                        <m:r>
                          <w:rPr>
                            <w:rFonts w:ascii="Cambria Math" w:hAnsi="Cambria Math"/>
                            <w:sz w:val="24"/>
                            <w:szCs w:val="24"/>
                          </w:rPr>
                          <m:t>m</m:t>
                        </m:r>
                      </m:sup>
                    </m:sSubSup>
                  </m:den>
                </m:f>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σ-1</m:t>
                </m:r>
              </m:den>
            </m:f>
          </m:sup>
        </m:sSup>
      </m:oMath>
      <w:r w:rsidRPr="00531682">
        <w:rPr>
          <w:sz w:val="24"/>
          <w:szCs w:val="24"/>
        </w:rPr>
        <w:t xml:space="preserve"> </w:t>
      </w:r>
      <w:r w:rsidRPr="00531682">
        <w:rPr>
          <w:sz w:val="24"/>
          <w:szCs w:val="24"/>
        </w:rPr>
        <w:tab/>
      </w:r>
      <w:r w:rsidRPr="00531682">
        <w:rPr>
          <w:sz w:val="24"/>
          <w:szCs w:val="24"/>
        </w:rPr>
        <w:tab/>
      </w:r>
      <w:r w:rsidRPr="00531682">
        <w:rPr>
          <w:sz w:val="24"/>
          <w:szCs w:val="24"/>
        </w:rPr>
        <w:tab/>
      </w:r>
      <w:r w:rsidRPr="00531682">
        <w:rPr>
          <w:sz w:val="24"/>
          <w:szCs w:val="24"/>
        </w:rPr>
        <w:tab/>
      </w:r>
      <w:r w:rsidRPr="00531682">
        <w:rPr>
          <w:sz w:val="24"/>
          <w:szCs w:val="24"/>
        </w:rPr>
        <w:tab/>
      </w:r>
      <w:r w:rsidRPr="00531682">
        <w:rPr>
          <w:sz w:val="24"/>
          <w:szCs w:val="24"/>
        </w:rPr>
        <w:tab/>
        <w:t>(11)</w:t>
      </w:r>
    </w:p>
    <w:p w14:paraId="1468FC25" w14:textId="77777777" w:rsidR="0023271C" w:rsidRPr="00531682" w:rsidRDefault="000F17CB" w:rsidP="00AA369D">
      <w:pPr>
        <w:rPr>
          <w:sz w:val="24"/>
          <w:szCs w:val="24"/>
        </w:rPr>
      </w:pPr>
      <w:r w:rsidRPr="00531682">
        <w:rPr>
          <w:sz w:val="24"/>
          <w:szCs w:val="24"/>
        </w:rPr>
        <w:t>Similarly, for final services:</w:t>
      </w:r>
    </w:p>
    <w:p w14:paraId="1A9DC274" w14:textId="77777777" w:rsidR="000F17CB" w:rsidRPr="00531682" w:rsidRDefault="00AA1244" w:rsidP="000F17CB">
      <w:pPr>
        <w:jc w:val="right"/>
        <w:rPr>
          <w:sz w:val="24"/>
          <w:szCs w:val="24"/>
        </w:rPr>
      </w:pPr>
      <m:oMath>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ij</m:t>
                </m:r>
              </m:sub>
              <m:sup>
                <m:r>
                  <w:rPr>
                    <w:rFonts w:ascii="Cambria Math" w:hAnsi="Cambria Math"/>
                    <w:sz w:val="24"/>
                    <w:szCs w:val="24"/>
                  </w:rPr>
                  <m:t>f</m:t>
                </m:r>
              </m:sup>
            </m:sSub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ji</m:t>
                </m:r>
              </m:sub>
              <m:sup>
                <m:r>
                  <w:rPr>
                    <w:rFonts w:ascii="Cambria Math" w:hAnsi="Cambria Math"/>
                    <w:sz w:val="24"/>
                    <w:szCs w:val="24"/>
                  </w:rPr>
                  <m:t>f</m:t>
                </m:r>
              </m:sup>
            </m:sSubSup>
          </m:num>
          <m:den>
            <m:sSubSup>
              <m:sSubSupPr>
                <m:ctrlPr>
                  <w:rPr>
                    <w:rFonts w:ascii="Cambria Math" w:hAnsi="Cambria Math"/>
                    <w:sz w:val="24"/>
                    <w:szCs w:val="24"/>
                  </w:rPr>
                </m:ctrlPr>
              </m:sSubSupPr>
              <m:e>
                <m:r>
                  <m:rPr>
                    <m:sty m:val="p"/>
                  </m:rPr>
                  <w:rPr>
                    <w:rFonts w:ascii="Cambria Math" w:hAnsi="Cambria Math"/>
                    <w:sz w:val="24"/>
                    <w:szCs w:val="24"/>
                  </w:rPr>
                  <m:t>t</m:t>
                </m:r>
              </m:e>
              <m:sub>
                <m:r>
                  <w:rPr>
                    <w:rFonts w:ascii="Cambria Math" w:hAnsi="Cambria Math"/>
                    <w:sz w:val="24"/>
                    <w:szCs w:val="24"/>
                  </w:rPr>
                  <m:t>ii</m:t>
                </m:r>
              </m:sub>
              <m:sup>
                <m:r>
                  <w:rPr>
                    <w:rFonts w:ascii="Cambria Math" w:hAnsi="Cambria Math"/>
                    <w:sz w:val="24"/>
                    <w:szCs w:val="24"/>
                  </w:rPr>
                  <m:t>f</m:t>
                </m:r>
              </m:sup>
            </m:sSubSup>
            <m:sSubSup>
              <m:sSubSupPr>
                <m:ctrlPr>
                  <w:rPr>
                    <w:rFonts w:ascii="Cambria Math" w:hAnsi="Cambria Math"/>
                    <w:sz w:val="24"/>
                    <w:szCs w:val="24"/>
                  </w:rPr>
                </m:ctrlPr>
              </m:sSubSupPr>
              <m:e>
                <m:r>
                  <m:rPr>
                    <m:sty m:val="p"/>
                  </m:rPr>
                  <w:rPr>
                    <w:rFonts w:ascii="Cambria Math" w:hAnsi="Cambria Math"/>
                    <w:sz w:val="24"/>
                    <w:szCs w:val="24"/>
                  </w:rPr>
                  <m:t>t</m:t>
                </m:r>
              </m:e>
              <m:sub>
                <m:r>
                  <w:rPr>
                    <w:rFonts w:ascii="Cambria Math" w:hAnsi="Cambria Math"/>
                    <w:sz w:val="24"/>
                    <w:szCs w:val="24"/>
                  </w:rPr>
                  <m:t>jj</m:t>
                </m:r>
              </m:sub>
              <m:sup>
                <m:r>
                  <w:rPr>
                    <w:rFonts w:ascii="Cambria Math" w:hAnsi="Cambria Math"/>
                    <w:sz w:val="24"/>
                    <w:szCs w:val="24"/>
                  </w:rPr>
                  <m:t>f</m:t>
                </m:r>
              </m:sup>
            </m:sSubSup>
          </m:den>
        </m:f>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ii</m:t>
                        </m:r>
                      </m:sub>
                      <m:sup>
                        <m:r>
                          <w:rPr>
                            <w:rFonts w:ascii="Cambria Math" w:hAnsi="Cambria Math"/>
                            <w:sz w:val="24"/>
                            <w:szCs w:val="24"/>
                          </w:rPr>
                          <m:t>f</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jj</m:t>
                        </m:r>
                      </m:sub>
                      <m:sup>
                        <m:r>
                          <w:rPr>
                            <w:rFonts w:ascii="Cambria Math" w:hAnsi="Cambria Math"/>
                            <w:sz w:val="24"/>
                            <w:szCs w:val="24"/>
                          </w:rPr>
                          <m:t>f</m:t>
                        </m:r>
                      </m:sup>
                    </m:sSubSup>
                  </m:num>
                  <m:den>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ij</m:t>
                        </m:r>
                      </m:sub>
                      <m:sup>
                        <m:r>
                          <w:rPr>
                            <w:rFonts w:ascii="Cambria Math" w:hAnsi="Cambria Math"/>
                            <w:sz w:val="24"/>
                            <w:szCs w:val="24"/>
                          </w:rPr>
                          <m:t>f</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ji</m:t>
                        </m:r>
                      </m:sub>
                      <m:sup>
                        <m:r>
                          <w:rPr>
                            <w:rFonts w:ascii="Cambria Math" w:hAnsi="Cambria Math"/>
                            <w:sz w:val="24"/>
                            <w:szCs w:val="24"/>
                          </w:rPr>
                          <m:t>f</m:t>
                        </m:r>
                      </m:sup>
                    </m:sSubSup>
                  </m:den>
                </m:f>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σ-1</m:t>
                </m:r>
              </m:den>
            </m:f>
          </m:sup>
        </m:sSup>
      </m:oMath>
      <w:r w:rsidR="000F17CB" w:rsidRPr="00531682">
        <w:rPr>
          <w:sz w:val="24"/>
          <w:szCs w:val="24"/>
        </w:rPr>
        <w:t xml:space="preserve"> </w:t>
      </w:r>
      <w:r w:rsidR="000F17CB" w:rsidRPr="00531682">
        <w:rPr>
          <w:sz w:val="24"/>
          <w:szCs w:val="24"/>
        </w:rPr>
        <w:tab/>
      </w:r>
      <w:r w:rsidR="000F17CB" w:rsidRPr="00531682">
        <w:rPr>
          <w:sz w:val="24"/>
          <w:szCs w:val="24"/>
        </w:rPr>
        <w:tab/>
      </w:r>
      <w:r w:rsidR="000F17CB" w:rsidRPr="00531682">
        <w:rPr>
          <w:sz w:val="24"/>
          <w:szCs w:val="24"/>
        </w:rPr>
        <w:tab/>
      </w:r>
      <w:r w:rsidR="000F17CB" w:rsidRPr="00531682">
        <w:rPr>
          <w:sz w:val="24"/>
          <w:szCs w:val="24"/>
        </w:rPr>
        <w:tab/>
      </w:r>
      <w:r w:rsidR="000F17CB" w:rsidRPr="00531682">
        <w:rPr>
          <w:sz w:val="24"/>
          <w:szCs w:val="24"/>
        </w:rPr>
        <w:tab/>
      </w:r>
      <w:r w:rsidR="000F17CB" w:rsidRPr="00531682">
        <w:rPr>
          <w:sz w:val="24"/>
          <w:szCs w:val="24"/>
        </w:rPr>
        <w:tab/>
        <w:t>(12)</w:t>
      </w:r>
    </w:p>
    <w:p w14:paraId="313999A8" w14:textId="77777777" w:rsidR="000F17CB" w:rsidRPr="00531682" w:rsidRDefault="000F17CB" w:rsidP="00AA369D">
      <w:pPr>
        <w:rPr>
          <w:sz w:val="24"/>
          <w:szCs w:val="24"/>
        </w:rPr>
      </w:pPr>
      <w:r w:rsidRPr="00531682">
        <w:rPr>
          <w:sz w:val="24"/>
          <w:szCs w:val="24"/>
        </w:rPr>
        <w:t>We thus obtain two measures of trade costs for intermediate and final services when taking the geometric mean of the barriers in both directions:</w:t>
      </w:r>
    </w:p>
    <w:p w14:paraId="09C8A0BF" w14:textId="77777777" w:rsidR="000F17CB" w:rsidRPr="00531682" w:rsidRDefault="000F17CB" w:rsidP="000F17CB">
      <w:pPr>
        <w:jc w:val="right"/>
        <w:rPr>
          <w:sz w:val="24"/>
          <w:szCs w:val="24"/>
        </w:rPr>
      </w:pPr>
      <w:r w:rsidRPr="00531682">
        <w:rPr>
          <w:sz w:val="24"/>
          <w:szCs w:val="24"/>
        </w:rPr>
        <w:tab/>
        <w:t xml:space="preserve">      </w:t>
      </w:r>
      <m:oMath>
        <m:sSubSup>
          <m:sSubSupPr>
            <m:ctrlPr>
              <w:rPr>
                <w:rFonts w:ascii="Cambria Math" w:hAnsi="Cambria Math"/>
                <w:i/>
                <w:sz w:val="24"/>
                <w:szCs w:val="24"/>
              </w:rPr>
            </m:ctrlPr>
          </m:sSubSupPr>
          <m:e>
            <m:r>
              <w:rPr>
                <w:rFonts w:ascii="Cambria Math" w:hAnsi="Cambria Math"/>
                <w:sz w:val="24"/>
                <w:szCs w:val="24"/>
              </w:rPr>
              <m:t>τ</m:t>
            </m:r>
          </m:e>
          <m:sub>
            <m:r>
              <w:rPr>
                <w:rFonts w:ascii="Cambria Math" w:hAnsi="Cambria Math"/>
                <w:sz w:val="24"/>
                <w:szCs w:val="24"/>
              </w:rPr>
              <m:t>ij</m:t>
            </m:r>
          </m:sub>
          <m:sup>
            <m:r>
              <w:rPr>
                <w:rFonts w:ascii="Cambria Math" w:hAnsi="Cambria Math"/>
                <w:sz w:val="24"/>
                <w:szCs w:val="24"/>
              </w:rPr>
              <m:t>m</m:t>
            </m:r>
          </m:sup>
        </m:sSub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ij</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ji</m:t>
                        </m:r>
                      </m:sub>
                      <m:sup>
                        <m:r>
                          <w:rPr>
                            <w:rFonts w:ascii="Cambria Math" w:hAnsi="Cambria Math"/>
                            <w:sz w:val="24"/>
                            <w:szCs w:val="24"/>
                          </w:rPr>
                          <m:t>m</m:t>
                        </m:r>
                      </m:sup>
                    </m:sSubSup>
                  </m:num>
                  <m:den>
                    <m:sSubSup>
                      <m:sSubSupPr>
                        <m:ctrlPr>
                          <w:rPr>
                            <w:rFonts w:ascii="Cambria Math" w:hAnsi="Cambria Math"/>
                            <w:sz w:val="24"/>
                            <w:szCs w:val="24"/>
                          </w:rPr>
                        </m:ctrlPr>
                      </m:sSubSupPr>
                      <m:e>
                        <m:r>
                          <m:rPr>
                            <m:sty m:val="p"/>
                          </m:rPr>
                          <w:rPr>
                            <w:rFonts w:ascii="Cambria Math" w:hAnsi="Cambria Math"/>
                            <w:sz w:val="24"/>
                            <w:szCs w:val="24"/>
                          </w:rPr>
                          <m:t>t</m:t>
                        </m:r>
                      </m:e>
                      <m:sub>
                        <m:r>
                          <w:rPr>
                            <w:rFonts w:ascii="Cambria Math" w:hAnsi="Cambria Math"/>
                            <w:sz w:val="24"/>
                            <w:szCs w:val="24"/>
                          </w:rPr>
                          <m:t>ii</m:t>
                        </m:r>
                      </m:sub>
                      <m:sup>
                        <m:r>
                          <w:rPr>
                            <w:rFonts w:ascii="Cambria Math" w:hAnsi="Cambria Math"/>
                            <w:sz w:val="24"/>
                            <w:szCs w:val="24"/>
                          </w:rPr>
                          <m:t>m</m:t>
                        </m:r>
                      </m:sup>
                    </m:sSubSup>
                    <m:sSubSup>
                      <m:sSubSupPr>
                        <m:ctrlPr>
                          <w:rPr>
                            <w:rFonts w:ascii="Cambria Math" w:hAnsi="Cambria Math"/>
                            <w:sz w:val="24"/>
                            <w:szCs w:val="24"/>
                          </w:rPr>
                        </m:ctrlPr>
                      </m:sSubSupPr>
                      <m:e>
                        <m:r>
                          <m:rPr>
                            <m:sty m:val="p"/>
                          </m:rPr>
                          <w:rPr>
                            <w:rFonts w:ascii="Cambria Math" w:hAnsi="Cambria Math"/>
                            <w:sz w:val="24"/>
                            <w:szCs w:val="24"/>
                          </w:rPr>
                          <m:t>t</m:t>
                        </m:r>
                      </m:e>
                      <m:sub>
                        <m:r>
                          <w:rPr>
                            <w:rFonts w:ascii="Cambria Math" w:hAnsi="Cambria Math"/>
                            <w:sz w:val="24"/>
                            <w:szCs w:val="24"/>
                          </w:rPr>
                          <m:t>jj</m:t>
                        </m:r>
                      </m:sub>
                      <m:sup>
                        <m:r>
                          <w:rPr>
                            <w:rFonts w:ascii="Cambria Math" w:hAnsi="Cambria Math"/>
                            <w:sz w:val="24"/>
                            <w:szCs w:val="24"/>
                          </w:rPr>
                          <m:t>m</m:t>
                        </m:r>
                      </m:sup>
                    </m:sSubSup>
                  </m:den>
                </m:f>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-1=</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ii</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jj</m:t>
                        </m:r>
                      </m:sub>
                      <m:sup>
                        <m:r>
                          <w:rPr>
                            <w:rFonts w:ascii="Cambria Math" w:hAnsi="Cambria Math"/>
                            <w:sz w:val="24"/>
                            <w:szCs w:val="24"/>
                          </w:rPr>
                          <m:t>m</m:t>
                        </m:r>
                      </m:sup>
                    </m:sSubSup>
                  </m:num>
                  <m:den>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ij</m:t>
                        </m:r>
                      </m:sub>
                      <m:sup>
                        <m:r>
                          <w:rPr>
                            <w:rFonts w:ascii="Cambria Math" w:hAnsi="Cambria Math"/>
                            <w:sz w:val="24"/>
                            <w:szCs w:val="24"/>
                          </w:rPr>
                          <m:t>m</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ji</m:t>
                        </m:r>
                      </m:sub>
                      <m:sup>
                        <m:r>
                          <w:rPr>
                            <w:rFonts w:ascii="Cambria Math" w:hAnsi="Cambria Math"/>
                            <w:sz w:val="24"/>
                            <w:szCs w:val="24"/>
                          </w:rPr>
                          <m:t>m</m:t>
                        </m:r>
                      </m:sup>
                    </m:sSubSup>
                  </m:den>
                </m:f>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2(σ-1)</m:t>
                </m:r>
              </m:den>
            </m:f>
          </m:sup>
        </m:sSup>
        <m:r>
          <w:rPr>
            <w:rFonts w:ascii="Cambria Math" w:hAnsi="Cambria Math"/>
            <w:sz w:val="24"/>
            <w:szCs w:val="24"/>
          </w:rPr>
          <m:t>-1</m:t>
        </m:r>
      </m:oMath>
      <w:r w:rsidRPr="00531682">
        <w:rPr>
          <w:sz w:val="24"/>
          <w:szCs w:val="24"/>
        </w:rPr>
        <w:tab/>
      </w:r>
      <w:r w:rsidRPr="00531682">
        <w:rPr>
          <w:sz w:val="24"/>
          <w:szCs w:val="24"/>
        </w:rPr>
        <w:tab/>
        <w:t xml:space="preserve"> </w:t>
      </w:r>
      <w:r w:rsidRPr="00531682">
        <w:rPr>
          <w:sz w:val="24"/>
          <w:szCs w:val="24"/>
        </w:rPr>
        <w:tab/>
      </w:r>
      <w:r w:rsidRPr="00531682">
        <w:rPr>
          <w:sz w:val="24"/>
          <w:szCs w:val="24"/>
        </w:rPr>
        <w:tab/>
        <w:t>(1</w:t>
      </w:r>
      <w:r w:rsidR="00A45018" w:rsidRPr="00531682">
        <w:rPr>
          <w:sz w:val="24"/>
          <w:szCs w:val="24"/>
        </w:rPr>
        <w:t>3</w:t>
      </w:r>
      <w:r w:rsidRPr="00531682">
        <w:rPr>
          <w:sz w:val="24"/>
          <w:szCs w:val="24"/>
        </w:rPr>
        <w:t>)</w:t>
      </w:r>
    </w:p>
    <w:p w14:paraId="70CB6346" w14:textId="77777777" w:rsidR="000F17CB" w:rsidRPr="00531682" w:rsidRDefault="000F17CB" w:rsidP="000F17CB">
      <w:pPr>
        <w:jc w:val="right"/>
        <w:rPr>
          <w:sz w:val="24"/>
          <w:szCs w:val="24"/>
        </w:rPr>
      </w:pPr>
      <w:r w:rsidRPr="00531682">
        <w:rPr>
          <w:sz w:val="24"/>
          <w:szCs w:val="24"/>
        </w:rPr>
        <w:tab/>
        <w:t xml:space="preserve">      </w:t>
      </w:r>
      <m:oMath>
        <m:sSubSup>
          <m:sSubSupPr>
            <m:ctrlPr>
              <w:rPr>
                <w:rFonts w:ascii="Cambria Math" w:hAnsi="Cambria Math"/>
                <w:i/>
                <w:sz w:val="24"/>
                <w:szCs w:val="24"/>
              </w:rPr>
            </m:ctrlPr>
          </m:sSubSupPr>
          <m:e>
            <m:r>
              <w:rPr>
                <w:rFonts w:ascii="Cambria Math" w:hAnsi="Cambria Math"/>
                <w:sz w:val="24"/>
                <w:szCs w:val="24"/>
              </w:rPr>
              <m:t>τ</m:t>
            </m:r>
          </m:e>
          <m:sub>
            <m:r>
              <w:rPr>
                <w:rFonts w:ascii="Cambria Math" w:hAnsi="Cambria Math"/>
                <w:sz w:val="24"/>
                <w:szCs w:val="24"/>
              </w:rPr>
              <m:t>ij</m:t>
            </m:r>
          </m:sub>
          <m:sup>
            <m:r>
              <w:rPr>
                <w:rFonts w:ascii="Cambria Math" w:hAnsi="Cambria Math"/>
                <w:sz w:val="24"/>
                <w:szCs w:val="24"/>
              </w:rPr>
              <m:t>f</m:t>
            </m:r>
          </m:sup>
        </m:sSub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ij</m:t>
                        </m:r>
                      </m:sub>
                      <m:sup>
                        <m:r>
                          <w:rPr>
                            <w:rFonts w:ascii="Cambria Math" w:hAnsi="Cambria Math"/>
                            <w:sz w:val="24"/>
                            <w:szCs w:val="24"/>
                          </w:rPr>
                          <m:t>f</m:t>
                        </m:r>
                      </m:sup>
                    </m:sSubSup>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ji</m:t>
                        </m:r>
                      </m:sub>
                      <m:sup>
                        <m:r>
                          <w:rPr>
                            <w:rFonts w:ascii="Cambria Math" w:hAnsi="Cambria Math"/>
                            <w:sz w:val="24"/>
                            <w:szCs w:val="24"/>
                          </w:rPr>
                          <m:t>f</m:t>
                        </m:r>
                      </m:sup>
                    </m:sSubSup>
                  </m:num>
                  <m:den>
                    <m:sSubSup>
                      <m:sSubSupPr>
                        <m:ctrlPr>
                          <w:rPr>
                            <w:rFonts w:ascii="Cambria Math" w:hAnsi="Cambria Math"/>
                            <w:sz w:val="24"/>
                            <w:szCs w:val="24"/>
                          </w:rPr>
                        </m:ctrlPr>
                      </m:sSubSupPr>
                      <m:e>
                        <m:r>
                          <m:rPr>
                            <m:sty m:val="p"/>
                          </m:rPr>
                          <w:rPr>
                            <w:rFonts w:ascii="Cambria Math" w:hAnsi="Cambria Math"/>
                            <w:sz w:val="24"/>
                            <w:szCs w:val="24"/>
                          </w:rPr>
                          <m:t>t</m:t>
                        </m:r>
                      </m:e>
                      <m:sub>
                        <m:r>
                          <w:rPr>
                            <w:rFonts w:ascii="Cambria Math" w:hAnsi="Cambria Math"/>
                            <w:sz w:val="24"/>
                            <w:szCs w:val="24"/>
                          </w:rPr>
                          <m:t>ii</m:t>
                        </m:r>
                      </m:sub>
                      <m:sup>
                        <m:r>
                          <w:rPr>
                            <w:rFonts w:ascii="Cambria Math" w:hAnsi="Cambria Math"/>
                            <w:sz w:val="24"/>
                            <w:szCs w:val="24"/>
                          </w:rPr>
                          <m:t>f</m:t>
                        </m:r>
                      </m:sup>
                    </m:sSubSup>
                    <m:sSubSup>
                      <m:sSubSupPr>
                        <m:ctrlPr>
                          <w:rPr>
                            <w:rFonts w:ascii="Cambria Math" w:hAnsi="Cambria Math"/>
                            <w:sz w:val="24"/>
                            <w:szCs w:val="24"/>
                          </w:rPr>
                        </m:ctrlPr>
                      </m:sSubSupPr>
                      <m:e>
                        <m:r>
                          <m:rPr>
                            <m:sty m:val="p"/>
                          </m:rPr>
                          <w:rPr>
                            <w:rFonts w:ascii="Cambria Math" w:hAnsi="Cambria Math"/>
                            <w:sz w:val="24"/>
                            <w:szCs w:val="24"/>
                          </w:rPr>
                          <m:t>t</m:t>
                        </m:r>
                      </m:e>
                      <m:sub>
                        <m:r>
                          <w:rPr>
                            <w:rFonts w:ascii="Cambria Math" w:hAnsi="Cambria Math"/>
                            <w:sz w:val="24"/>
                            <w:szCs w:val="24"/>
                          </w:rPr>
                          <m:t>jj</m:t>
                        </m:r>
                      </m:sub>
                      <m:sup>
                        <m:r>
                          <w:rPr>
                            <w:rFonts w:ascii="Cambria Math" w:hAnsi="Cambria Math"/>
                            <w:sz w:val="24"/>
                            <w:szCs w:val="24"/>
                          </w:rPr>
                          <m:t>f</m:t>
                        </m:r>
                      </m:sup>
                    </m:sSubSup>
                  </m:den>
                </m:f>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-1=</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ii</m:t>
                        </m:r>
                      </m:sub>
                      <m:sup>
                        <m:r>
                          <w:rPr>
                            <w:rFonts w:ascii="Cambria Math" w:hAnsi="Cambria Math"/>
                            <w:sz w:val="24"/>
                            <w:szCs w:val="24"/>
                          </w:rPr>
                          <m:t>f</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jj</m:t>
                        </m:r>
                      </m:sub>
                      <m:sup>
                        <m:r>
                          <w:rPr>
                            <w:rFonts w:ascii="Cambria Math" w:hAnsi="Cambria Math"/>
                            <w:sz w:val="24"/>
                            <w:szCs w:val="24"/>
                          </w:rPr>
                          <m:t>f</m:t>
                        </m:r>
                      </m:sup>
                    </m:sSubSup>
                  </m:num>
                  <m:den>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ij</m:t>
                        </m:r>
                      </m:sub>
                      <m:sup>
                        <m:r>
                          <w:rPr>
                            <w:rFonts w:ascii="Cambria Math" w:hAnsi="Cambria Math"/>
                            <w:sz w:val="24"/>
                            <w:szCs w:val="24"/>
                          </w:rPr>
                          <m:t>f</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ji</m:t>
                        </m:r>
                      </m:sub>
                      <m:sup>
                        <m:r>
                          <w:rPr>
                            <w:rFonts w:ascii="Cambria Math" w:hAnsi="Cambria Math"/>
                            <w:sz w:val="24"/>
                            <w:szCs w:val="24"/>
                          </w:rPr>
                          <m:t>f</m:t>
                        </m:r>
                      </m:sup>
                    </m:sSubSup>
                  </m:den>
                </m:f>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2(σ-1)</m:t>
                </m:r>
              </m:den>
            </m:f>
          </m:sup>
        </m:sSup>
        <m:r>
          <w:rPr>
            <w:rFonts w:ascii="Cambria Math" w:hAnsi="Cambria Math"/>
            <w:sz w:val="24"/>
            <w:szCs w:val="24"/>
          </w:rPr>
          <m:t>-1</m:t>
        </m:r>
      </m:oMath>
      <w:r w:rsidR="00A45018" w:rsidRPr="00531682">
        <w:rPr>
          <w:sz w:val="24"/>
          <w:szCs w:val="24"/>
        </w:rPr>
        <w:tab/>
      </w:r>
      <w:r w:rsidR="00A45018" w:rsidRPr="00531682">
        <w:rPr>
          <w:sz w:val="24"/>
          <w:szCs w:val="24"/>
        </w:rPr>
        <w:tab/>
      </w:r>
      <w:r w:rsidR="00A45018" w:rsidRPr="00531682">
        <w:rPr>
          <w:sz w:val="24"/>
          <w:szCs w:val="24"/>
        </w:rPr>
        <w:tab/>
      </w:r>
      <w:r w:rsidR="00A45018" w:rsidRPr="00531682">
        <w:rPr>
          <w:sz w:val="24"/>
          <w:szCs w:val="24"/>
        </w:rPr>
        <w:tab/>
        <w:t>(14</w:t>
      </w:r>
      <w:r w:rsidRPr="00531682">
        <w:rPr>
          <w:sz w:val="24"/>
          <w:szCs w:val="24"/>
        </w:rPr>
        <w:t>)</w:t>
      </w:r>
    </w:p>
    <w:p w14:paraId="523B5E70" w14:textId="77777777" w:rsidR="009A693E" w:rsidRDefault="009A693E" w:rsidP="00831091">
      <w:pPr>
        <w:pStyle w:val="Heading1"/>
      </w:pPr>
      <w:r>
        <w:lastRenderedPageBreak/>
        <w:t>3. Dataset and statistical issues</w:t>
      </w:r>
    </w:p>
    <w:p w14:paraId="4AA2D258" w14:textId="77777777" w:rsidR="00807D1E" w:rsidRDefault="00807D1E" w:rsidP="00496556">
      <w:pPr>
        <w:pStyle w:val="Heading2"/>
      </w:pPr>
      <w:r>
        <w:t>3.1 The World Input-Output Database (WIOD)</w:t>
      </w:r>
    </w:p>
    <w:p w14:paraId="36101CED" w14:textId="5EF91537" w:rsidR="000A7C6E" w:rsidRDefault="00807D1E" w:rsidP="00496556">
      <w:pPr>
        <w:jc w:val="both"/>
        <w:rPr>
          <w:sz w:val="24"/>
        </w:rPr>
      </w:pPr>
      <w:r w:rsidRPr="00FC6511">
        <w:rPr>
          <w:sz w:val="24"/>
        </w:rPr>
        <w:t xml:space="preserve">To estimate trade costs in services, </w:t>
      </w:r>
      <w:r w:rsidR="00A02552">
        <w:rPr>
          <w:sz w:val="24"/>
        </w:rPr>
        <w:t xml:space="preserve">this paper relies </w:t>
      </w:r>
      <w:r w:rsidRPr="00FC6511">
        <w:rPr>
          <w:sz w:val="24"/>
        </w:rPr>
        <w:t xml:space="preserve">on the </w:t>
      </w:r>
      <w:r w:rsidR="00496556" w:rsidRPr="00FC6511">
        <w:rPr>
          <w:sz w:val="24"/>
        </w:rPr>
        <w:t xml:space="preserve">World Input-Output Database (Timmer </w:t>
      </w:r>
      <w:r w:rsidR="00496556" w:rsidRPr="00FC6511">
        <w:rPr>
          <w:i/>
          <w:sz w:val="24"/>
        </w:rPr>
        <w:t>et al.</w:t>
      </w:r>
      <w:r w:rsidR="00496556" w:rsidRPr="00FC6511">
        <w:rPr>
          <w:sz w:val="24"/>
        </w:rPr>
        <w:t xml:space="preserve">, 2014). The dataset consists </w:t>
      </w:r>
      <w:r w:rsidR="00736CB3">
        <w:rPr>
          <w:sz w:val="24"/>
        </w:rPr>
        <w:t>of</w:t>
      </w:r>
      <w:r w:rsidR="00736CB3" w:rsidRPr="00FC6511">
        <w:rPr>
          <w:sz w:val="24"/>
        </w:rPr>
        <w:t xml:space="preserve"> </w:t>
      </w:r>
      <w:r w:rsidR="00496556" w:rsidRPr="00FC6511">
        <w:rPr>
          <w:sz w:val="24"/>
        </w:rPr>
        <w:t xml:space="preserve">a time-series of world input-output tables </w:t>
      </w:r>
      <w:r w:rsidR="008D1552" w:rsidRPr="00FC6511">
        <w:rPr>
          <w:sz w:val="24"/>
        </w:rPr>
        <w:t>covering the period 1995 to 2011</w:t>
      </w:r>
      <w:r w:rsidR="00A02552">
        <w:rPr>
          <w:sz w:val="24"/>
        </w:rPr>
        <w:t>,</w:t>
      </w:r>
      <w:r w:rsidR="008D1552" w:rsidRPr="00FC6511">
        <w:rPr>
          <w:sz w:val="24"/>
        </w:rPr>
        <w:t xml:space="preserve"> with detailed data for 40 economies</w:t>
      </w:r>
      <w:r w:rsidR="001D6CAC" w:rsidRPr="00FC6511">
        <w:rPr>
          <w:sz w:val="24"/>
        </w:rPr>
        <w:t xml:space="preserve"> (27 EU countries and 13 other major advanced and emerging economies)</w:t>
      </w:r>
      <w:r w:rsidR="008D1552" w:rsidRPr="00FC6511">
        <w:rPr>
          <w:sz w:val="24"/>
        </w:rPr>
        <w:t xml:space="preserve">. The advantage is that these tables are consistent with national accounts, harmonised across countries and account for all inter-country and inter-industry transactions in 17 service industries, distinguishing between intermediate and final services. The </w:t>
      </w:r>
      <w:r w:rsidR="00E52D41">
        <w:rPr>
          <w:sz w:val="24"/>
        </w:rPr>
        <w:t>World Input Output Tables</w:t>
      </w:r>
      <w:r w:rsidR="00E52D41" w:rsidRPr="00FC6511">
        <w:rPr>
          <w:sz w:val="24"/>
        </w:rPr>
        <w:t xml:space="preserve"> </w:t>
      </w:r>
      <w:r w:rsidR="008D1552" w:rsidRPr="00FC6511">
        <w:rPr>
          <w:sz w:val="24"/>
        </w:rPr>
        <w:t xml:space="preserve">have both the information on domestic sales and imports/exports of services, which is all </w:t>
      </w:r>
      <w:r w:rsidR="00A02552">
        <w:rPr>
          <w:sz w:val="24"/>
        </w:rPr>
        <w:t xml:space="preserve">that is needed </w:t>
      </w:r>
      <w:r w:rsidR="008D1552" w:rsidRPr="00FC6511">
        <w:rPr>
          <w:sz w:val="24"/>
        </w:rPr>
        <w:t>to calculate trade costs.</w:t>
      </w:r>
    </w:p>
    <w:p w14:paraId="636C43C5" w14:textId="14AFD525" w:rsidR="00807D1E" w:rsidRPr="00FC6511" w:rsidRDefault="008D1552" w:rsidP="00496556">
      <w:pPr>
        <w:jc w:val="both"/>
        <w:rPr>
          <w:sz w:val="24"/>
        </w:rPr>
      </w:pPr>
      <w:r w:rsidRPr="00FC6511">
        <w:rPr>
          <w:sz w:val="24"/>
        </w:rPr>
        <w:t>To build these tables, a variety of statistics are used but the main information comes from international supply-use tables. This is a more reliable source for trade in services as compared to balance of payments data.</w:t>
      </w:r>
      <w:r w:rsidR="002C0148" w:rsidRPr="00FC6511">
        <w:rPr>
          <w:sz w:val="24"/>
        </w:rPr>
        <w:t xml:space="preserve"> H</w:t>
      </w:r>
      <w:r w:rsidR="001D6CAC" w:rsidRPr="00FC6511">
        <w:rPr>
          <w:sz w:val="24"/>
        </w:rPr>
        <w:t>owever, the national tables have no bilateral dimension and trade has to be allocated to partners on the basis of trade statistics that are generally of lower quality. Balancing procedures are then used to make the data consistent across countries and to solve the observed discrepancies between trade flows reported in national accounts and in trade statistics. These adjustments are based on assumptions that may introduce some bias in the estimation of trade costs but we still regard these data as more reliable than BOP statistics.</w:t>
      </w:r>
    </w:p>
    <w:p w14:paraId="4B70D98C" w14:textId="77777777" w:rsidR="008D1552" w:rsidRDefault="008D1552" w:rsidP="008D1552">
      <w:pPr>
        <w:pStyle w:val="Heading2"/>
      </w:pPr>
      <w:r>
        <w:t>3.2 The OECD Services Trade Restrictiveness Index (STRI)</w:t>
      </w:r>
    </w:p>
    <w:p w14:paraId="4356A8CD" w14:textId="77777777" w:rsidR="008D1552" w:rsidRPr="00FC6511" w:rsidRDefault="001D6CAC" w:rsidP="00C948B3">
      <w:pPr>
        <w:jc w:val="both"/>
        <w:rPr>
          <w:sz w:val="24"/>
        </w:rPr>
      </w:pPr>
      <w:r w:rsidRPr="00FC6511">
        <w:rPr>
          <w:sz w:val="24"/>
        </w:rPr>
        <w:t>To assess barriers to trade in services, we use the information from a new dataset that was recently released by the OECD and that provides Services Trade Restrictiveness Indices (STRIs) for 18 sectors. The OECD STRI covers a wider range of trade barriers as compared to a similar index released by the World Bank that focuses only on the restrictions relevant for the General Agreement on Trade in Services (GATS). Moreover, the information is more recent and was fully verified by all the countries. The indices are available for 40 economies (all OECD Members and the BRIICS).</w:t>
      </w:r>
      <w:r w:rsidR="00C948B3" w:rsidRPr="00FC6511">
        <w:rPr>
          <w:sz w:val="24"/>
        </w:rPr>
        <w:t xml:space="preserve"> The country coverage is not exactly the same as the WIOD dataset both in terms of countries and industries, requiring more aggregation and working with a sub-set of 32 countries.</w:t>
      </w:r>
    </w:p>
    <w:p w14:paraId="6E968B40" w14:textId="77777777" w:rsidR="009A693E" w:rsidRDefault="009A693E" w:rsidP="00831091">
      <w:pPr>
        <w:pStyle w:val="Heading1"/>
      </w:pPr>
      <w:r>
        <w:t>4. Main findings on the evolution of trade costs for services 1995-2011</w:t>
      </w:r>
    </w:p>
    <w:p w14:paraId="4FDB894B" w14:textId="10E927E0" w:rsidR="00940726" w:rsidRPr="008A67E5" w:rsidRDefault="00FB5559" w:rsidP="008A67E5">
      <w:pPr>
        <w:rPr>
          <w:sz w:val="24"/>
          <w:szCs w:val="24"/>
        </w:rPr>
      </w:pPr>
      <w:r w:rsidRPr="008A67E5">
        <w:rPr>
          <w:sz w:val="24"/>
          <w:szCs w:val="24"/>
        </w:rPr>
        <w:t>The two previous sections set out a methodology for calculating trade costs in intermediate and final services, and discussed data sources. This section applies the methodology to the data, and provides an overview of results.</w:t>
      </w:r>
    </w:p>
    <w:p w14:paraId="4A71F968" w14:textId="57EF9272" w:rsidR="00FB5559" w:rsidRPr="008A67E5" w:rsidRDefault="00FB5559" w:rsidP="008A67E5">
      <w:pPr>
        <w:jc w:val="both"/>
        <w:rPr>
          <w:sz w:val="24"/>
          <w:szCs w:val="24"/>
        </w:rPr>
      </w:pPr>
      <w:r w:rsidRPr="008A67E5">
        <w:rPr>
          <w:sz w:val="24"/>
          <w:szCs w:val="24"/>
        </w:rPr>
        <w:t xml:space="preserve">Figure 1 plots trade costs for intermediate and final services over the full sample period, namely 1996-2011. </w:t>
      </w:r>
      <w:r w:rsidR="002C43A3" w:rsidRPr="008A67E5">
        <w:rPr>
          <w:sz w:val="24"/>
          <w:szCs w:val="24"/>
        </w:rPr>
        <w:t xml:space="preserve">The figure shows simple averages across all countries for which data are available in a given year. </w:t>
      </w:r>
      <w:r w:rsidRPr="008A67E5">
        <w:rPr>
          <w:sz w:val="24"/>
          <w:szCs w:val="24"/>
        </w:rPr>
        <w:t xml:space="preserve">Trade costs in both cases are expressed in </w:t>
      </w:r>
      <w:r w:rsidRPr="00366A24">
        <w:rPr>
          <w:i/>
          <w:sz w:val="24"/>
          <w:szCs w:val="24"/>
        </w:rPr>
        <w:t>ad valorem</w:t>
      </w:r>
      <w:r w:rsidRPr="008A67E5">
        <w:rPr>
          <w:sz w:val="24"/>
          <w:szCs w:val="24"/>
        </w:rPr>
        <w:t xml:space="preserve"> equivalent </w:t>
      </w:r>
      <w:r w:rsidRPr="008A67E5">
        <w:rPr>
          <w:sz w:val="24"/>
          <w:szCs w:val="24"/>
        </w:rPr>
        <w:lastRenderedPageBreak/>
        <w:t xml:space="preserve">terms, which means that the assumption of a common elasticity of substitution for both sectors plays a role in determining the relative levels of trade costs. It is immediately apparent that for the full period, trade costs are lower in intermediate services than in final services. In 2011, trade costs for final services were 277% </w:t>
      </w:r>
      <w:r w:rsidRPr="00366A24">
        <w:rPr>
          <w:i/>
          <w:sz w:val="24"/>
          <w:szCs w:val="24"/>
        </w:rPr>
        <w:t>ad valorem</w:t>
      </w:r>
      <w:r w:rsidRPr="008A67E5">
        <w:rPr>
          <w:sz w:val="24"/>
          <w:szCs w:val="24"/>
        </w:rPr>
        <w:t>, compared with 194% for intermediate services. This difference is highly significant from an economic point of view</w:t>
      </w:r>
      <w:r w:rsidR="00E52D41">
        <w:rPr>
          <w:sz w:val="24"/>
          <w:szCs w:val="24"/>
        </w:rPr>
        <w:t>, because it indicates that intermediate services flow between countries more easily than final services, in other words that businesses have easier access to imported services than do final consumers</w:t>
      </w:r>
      <w:r w:rsidRPr="008A67E5">
        <w:rPr>
          <w:sz w:val="24"/>
          <w:szCs w:val="24"/>
        </w:rPr>
        <w:t>. It is important to stress that the numbers involved are very high, much higher than for goods trade, for example, but this finding is in line with previous work (Miroudot et al., 2013a).</w:t>
      </w:r>
      <w:r w:rsidR="00E52D41">
        <w:rPr>
          <w:rStyle w:val="FootnoteReference"/>
          <w:sz w:val="24"/>
          <w:szCs w:val="24"/>
        </w:rPr>
        <w:footnoteReference w:id="3"/>
      </w:r>
      <w:r w:rsidRPr="008A67E5">
        <w:rPr>
          <w:sz w:val="24"/>
          <w:szCs w:val="24"/>
        </w:rPr>
        <w:t xml:space="preserve"> </w:t>
      </w:r>
    </w:p>
    <w:p w14:paraId="6E9E28CD" w14:textId="3890B114" w:rsidR="00FB5559" w:rsidRPr="008A67E5" w:rsidRDefault="00FB5559" w:rsidP="008A67E5">
      <w:pPr>
        <w:jc w:val="both"/>
        <w:rPr>
          <w:sz w:val="24"/>
          <w:szCs w:val="24"/>
        </w:rPr>
      </w:pPr>
      <w:r w:rsidRPr="008A67E5">
        <w:rPr>
          <w:sz w:val="24"/>
          <w:szCs w:val="24"/>
        </w:rPr>
        <w:t xml:space="preserve">The overall pattern followed by trade costs is highly similar for the two cases. The overall trend is clearly downwards, particularly from </w:t>
      </w:r>
      <w:r w:rsidR="002C43A3" w:rsidRPr="008A67E5">
        <w:rPr>
          <w:sz w:val="24"/>
          <w:szCs w:val="24"/>
        </w:rPr>
        <w:t xml:space="preserve">2004/2005 onwards. There is evidence that </w:t>
      </w:r>
      <w:r w:rsidR="00EE59C3">
        <w:rPr>
          <w:sz w:val="24"/>
          <w:szCs w:val="24"/>
        </w:rPr>
        <w:t xml:space="preserve">the </w:t>
      </w:r>
      <w:r w:rsidR="002C43A3" w:rsidRPr="008A67E5">
        <w:rPr>
          <w:sz w:val="24"/>
          <w:szCs w:val="24"/>
        </w:rPr>
        <w:t xml:space="preserve">trend has been halted, and potentially slightly reversed, since the Great Trade Collapse of 2008-2009, although the changes involved are </w:t>
      </w:r>
      <w:r w:rsidR="00EE59C3">
        <w:rPr>
          <w:sz w:val="24"/>
          <w:szCs w:val="24"/>
        </w:rPr>
        <w:t xml:space="preserve">relatively </w:t>
      </w:r>
      <w:r w:rsidR="002C43A3" w:rsidRPr="008A67E5">
        <w:rPr>
          <w:sz w:val="24"/>
          <w:szCs w:val="24"/>
        </w:rPr>
        <w:t xml:space="preserve">small. This finding is consistent with the high level of disruption to value chains caused by the Global Financial Crisis and </w:t>
      </w:r>
      <w:r w:rsidR="00EE59C3">
        <w:rPr>
          <w:sz w:val="24"/>
          <w:szCs w:val="24"/>
        </w:rPr>
        <w:t xml:space="preserve">the </w:t>
      </w:r>
      <w:r w:rsidR="002C43A3" w:rsidRPr="008A67E5">
        <w:rPr>
          <w:sz w:val="24"/>
          <w:szCs w:val="24"/>
        </w:rPr>
        <w:t xml:space="preserve">ensuing trade collapse. However, the evidence from goods sectors, which we would expect services to follow, albeit with an apparent lag, is that value chains recover relatively quickly from economic shocks, even major ones. </w:t>
      </w:r>
      <w:r w:rsidR="00604079">
        <w:rPr>
          <w:sz w:val="24"/>
          <w:szCs w:val="24"/>
        </w:rPr>
        <w:t xml:space="preserve">One potential reason for this resilience is that lead firms make relationship specific investments in building GVC supplier networks, so shocks tend to result in a hiatus in that relationship rather than its complete undoing. </w:t>
      </w:r>
      <w:r w:rsidR="00472F3A">
        <w:rPr>
          <w:sz w:val="24"/>
          <w:szCs w:val="24"/>
        </w:rPr>
        <w:t>Shepherd and Cattaneo</w:t>
      </w:r>
      <w:r w:rsidR="00604079">
        <w:rPr>
          <w:sz w:val="24"/>
          <w:szCs w:val="24"/>
        </w:rPr>
        <w:t xml:space="preserve"> (2014) examine GVC responses to </w:t>
      </w:r>
      <w:r w:rsidR="00ED3CDD">
        <w:rPr>
          <w:sz w:val="24"/>
          <w:szCs w:val="24"/>
        </w:rPr>
        <w:t xml:space="preserve">major </w:t>
      </w:r>
      <w:r w:rsidR="00604079">
        <w:rPr>
          <w:sz w:val="24"/>
          <w:szCs w:val="24"/>
        </w:rPr>
        <w:t xml:space="preserve">shocks in the Asia-Pacific, and find that even in extreme cases, like the Thai floods or the Great Tohoku Earthquake, </w:t>
      </w:r>
      <w:r w:rsidR="00ED3CDD">
        <w:rPr>
          <w:sz w:val="24"/>
          <w:szCs w:val="24"/>
        </w:rPr>
        <w:t xml:space="preserve">both of which occurred in 2011, </w:t>
      </w:r>
      <w:r w:rsidR="00604079">
        <w:rPr>
          <w:sz w:val="24"/>
          <w:szCs w:val="24"/>
        </w:rPr>
        <w:t xml:space="preserve">recovery of trade flows generally </w:t>
      </w:r>
      <w:r w:rsidR="00ED3CDD">
        <w:rPr>
          <w:sz w:val="24"/>
          <w:szCs w:val="24"/>
        </w:rPr>
        <w:t>took</w:t>
      </w:r>
      <w:r w:rsidR="00604079">
        <w:rPr>
          <w:sz w:val="24"/>
          <w:szCs w:val="24"/>
        </w:rPr>
        <w:t xml:space="preserve"> no more than 12 months. </w:t>
      </w:r>
      <w:r w:rsidR="002C43A3" w:rsidRPr="008A67E5">
        <w:rPr>
          <w:sz w:val="24"/>
          <w:szCs w:val="24"/>
        </w:rPr>
        <w:t>It is therefore likely that more recent data would disclose a continuing downward trend in trade costs.</w:t>
      </w:r>
    </w:p>
    <w:p w14:paraId="78EBFE8A" w14:textId="1C4E9B1D" w:rsidR="00FB5559" w:rsidRPr="008A67E5" w:rsidRDefault="00FB5559" w:rsidP="008A67E5">
      <w:pPr>
        <w:pStyle w:val="Caption"/>
        <w:keepNext/>
        <w:rPr>
          <w:sz w:val="24"/>
          <w:szCs w:val="24"/>
        </w:rPr>
      </w:pPr>
      <w:r w:rsidRPr="008A67E5">
        <w:rPr>
          <w:sz w:val="24"/>
          <w:szCs w:val="24"/>
        </w:rPr>
        <w:lastRenderedPageBreak/>
        <w:t xml:space="preserve">Figure </w:t>
      </w:r>
      <w:r w:rsidRPr="008A67E5">
        <w:rPr>
          <w:sz w:val="24"/>
          <w:szCs w:val="24"/>
        </w:rPr>
        <w:fldChar w:fldCharType="begin"/>
      </w:r>
      <w:r w:rsidRPr="008A67E5">
        <w:rPr>
          <w:sz w:val="24"/>
          <w:szCs w:val="24"/>
        </w:rPr>
        <w:instrText xml:space="preserve"> SEQ Figure \* ARABIC </w:instrText>
      </w:r>
      <w:r w:rsidRPr="008A67E5">
        <w:rPr>
          <w:sz w:val="24"/>
          <w:szCs w:val="24"/>
        </w:rPr>
        <w:fldChar w:fldCharType="separate"/>
      </w:r>
      <w:r w:rsidR="006E58BD">
        <w:rPr>
          <w:noProof/>
          <w:sz w:val="24"/>
          <w:szCs w:val="24"/>
        </w:rPr>
        <w:t>1</w:t>
      </w:r>
      <w:r w:rsidRPr="008A67E5">
        <w:rPr>
          <w:sz w:val="24"/>
          <w:szCs w:val="24"/>
        </w:rPr>
        <w:fldChar w:fldCharType="end"/>
      </w:r>
      <w:r w:rsidRPr="008A67E5">
        <w:rPr>
          <w:sz w:val="24"/>
          <w:szCs w:val="24"/>
        </w:rPr>
        <w:t>: Trade costs for services, total trade, 1995-2011.</w:t>
      </w:r>
    </w:p>
    <w:p w14:paraId="764ED8B4" w14:textId="77777777" w:rsidR="00FB5559" w:rsidRPr="008A67E5" w:rsidRDefault="00940726" w:rsidP="008A67E5">
      <w:pPr>
        <w:keepNext/>
        <w:rPr>
          <w:sz w:val="24"/>
          <w:szCs w:val="24"/>
        </w:rPr>
      </w:pPr>
      <w:r w:rsidRPr="008A67E5">
        <w:rPr>
          <w:noProof/>
          <w:sz w:val="24"/>
          <w:szCs w:val="24"/>
          <w:lang w:val="en-US" w:eastAsia="en-US"/>
        </w:rPr>
        <w:drawing>
          <wp:inline distT="0" distB="0" distL="0" distR="0" wp14:anchorId="3D481E21" wp14:editId="4421B94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968DFD" w14:textId="07C6CDDA" w:rsidR="00FB5559" w:rsidRPr="008A67E5" w:rsidRDefault="00FB5559" w:rsidP="008A67E5">
      <w:pPr>
        <w:keepNext/>
        <w:rPr>
          <w:sz w:val="24"/>
          <w:szCs w:val="24"/>
        </w:rPr>
      </w:pPr>
      <w:r w:rsidRPr="008A67E5">
        <w:rPr>
          <w:i/>
          <w:sz w:val="24"/>
          <w:szCs w:val="24"/>
        </w:rPr>
        <w:t>Source: Authors’ calculations.</w:t>
      </w:r>
    </w:p>
    <w:p w14:paraId="6D067DC8" w14:textId="088AF607" w:rsidR="002C43A3" w:rsidRPr="008A67E5" w:rsidRDefault="002C43A3" w:rsidP="008A67E5">
      <w:pPr>
        <w:keepNext/>
        <w:jc w:val="both"/>
        <w:rPr>
          <w:sz w:val="24"/>
          <w:szCs w:val="24"/>
        </w:rPr>
      </w:pPr>
      <w:r w:rsidRPr="008A67E5">
        <w:rPr>
          <w:sz w:val="24"/>
          <w:szCs w:val="24"/>
        </w:rPr>
        <w:t xml:space="preserve">The similarity of the time paths of the two types of trade costs is reinforced by a consideration of the relative change between the beginning of the sample </w:t>
      </w:r>
      <w:r w:rsidR="00EE59C3">
        <w:rPr>
          <w:sz w:val="24"/>
          <w:szCs w:val="24"/>
        </w:rPr>
        <w:t xml:space="preserve">period </w:t>
      </w:r>
      <w:r w:rsidRPr="008A67E5">
        <w:rPr>
          <w:sz w:val="24"/>
          <w:szCs w:val="24"/>
        </w:rPr>
        <w:t xml:space="preserve">and the end. Intermediate trade costs declined by 11.5%, and final trade costs fell by 9.3%. Although the rate of decline is slightly faster for intermediates, the difference is not very large. The overall conclusion to be drawn is that, based on aggregate data, trade costs are following a relatively similar downward path, at similar speeds, for </w:t>
      </w:r>
      <w:r w:rsidR="00EE59C3">
        <w:rPr>
          <w:sz w:val="24"/>
          <w:szCs w:val="24"/>
        </w:rPr>
        <w:t xml:space="preserve">both </w:t>
      </w:r>
      <w:r w:rsidRPr="008A67E5">
        <w:rPr>
          <w:sz w:val="24"/>
          <w:szCs w:val="24"/>
        </w:rPr>
        <w:t xml:space="preserve">final and intermediate services. We emphasize that the relative decline in trade costs </w:t>
      </w:r>
      <w:r w:rsidR="00165B2B" w:rsidRPr="008A67E5">
        <w:rPr>
          <w:sz w:val="24"/>
          <w:szCs w:val="24"/>
        </w:rPr>
        <w:t>takes account of the different initial baselines, and as Novy (2013) has shown, it is relatively insensitive to the parameter choice made for the elasticity of substitution.</w:t>
      </w:r>
    </w:p>
    <w:p w14:paraId="526827BC" w14:textId="77777777" w:rsidR="004D464A" w:rsidRPr="008A67E5" w:rsidRDefault="00165B2B" w:rsidP="008A67E5">
      <w:pPr>
        <w:keepNext/>
        <w:jc w:val="both"/>
        <w:rPr>
          <w:sz w:val="24"/>
          <w:szCs w:val="24"/>
        </w:rPr>
      </w:pPr>
      <w:r w:rsidRPr="008A67E5">
        <w:rPr>
          <w:sz w:val="24"/>
          <w:szCs w:val="24"/>
        </w:rPr>
        <w:t xml:space="preserve">Although aggregate results are informative, it is important to drill down to the sectoral level to examine the potentially different ways in which final and intermediate trade costs have evolved over time due to sectoral specificities, including regulation and other measures that impact the cost to services firms of doing business abroad. </w:t>
      </w:r>
    </w:p>
    <w:p w14:paraId="2EC0BE48" w14:textId="21E60E6E" w:rsidR="00165B2B" w:rsidRPr="008A67E5" w:rsidRDefault="00165B2B" w:rsidP="008A67E5">
      <w:pPr>
        <w:keepNext/>
        <w:jc w:val="both"/>
        <w:rPr>
          <w:sz w:val="24"/>
          <w:szCs w:val="24"/>
        </w:rPr>
      </w:pPr>
      <w:r w:rsidRPr="008A67E5">
        <w:rPr>
          <w:sz w:val="24"/>
          <w:szCs w:val="24"/>
        </w:rPr>
        <w:t>Figure 2 presents sectoral results for intermediate trade costs.</w:t>
      </w:r>
      <w:r w:rsidR="004D464A" w:rsidRPr="008A67E5">
        <w:rPr>
          <w:sz w:val="24"/>
          <w:szCs w:val="24"/>
        </w:rPr>
        <w:t xml:space="preserve"> The hierarchy of </w:t>
      </w:r>
      <w:r w:rsidR="004D464A" w:rsidRPr="00366A24">
        <w:rPr>
          <w:i/>
          <w:sz w:val="24"/>
          <w:szCs w:val="24"/>
        </w:rPr>
        <w:t>ad valorem</w:t>
      </w:r>
      <w:r w:rsidR="004D464A" w:rsidRPr="008A67E5">
        <w:rPr>
          <w:sz w:val="24"/>
          <w:szCs w:val="24"/>
        </w:rPr>
        <w:t xml:space="preserve"> equivalents by sector is relatively stable over time: intermediate trade costs are lowest in transport, followed by business services and post and telecommunication</w:t>
      </w:r>
      <w:r w:rsidR="00EE59C3">
        <w:rPr>
          <w:sz w:val="24"/>
          <w:szCs w:val="24"/>
        </w:rPr>
        <w:t xml:space="preserve"> services</w:t>
      </w:r>
      <w:r w:rsidR="004D464A" w:rsidRPr="008A67E5">
        <w:rPr>
          <w:sz w:val="24"/>
          <w:szCs w:val="24"/>
        </w:rPr>
        <w:t>. Construction consistently has the highest levels of trade costs. Interestingly, the positions of finance and distribution change in the second half of the sample. By 2011, intermediate trade costs in distribution are substantially lower than those in finance. An important part of the reason is a large uptick in finance trade costs after 2009. This period coincides with a tightening of prudential and other regulations in many countries following the Global Financial Crisis, as well as a general re-pricing of risk that seems to have reduced the sector’s appetite for cross-border activity somewhat.</w:t>
      </w:r>
    </w:p>
    <w:p w14:paraId="58471FF3" w14:textId="7E5B2181" w:rsidR="004D464A" w:rsidRPr="008A67E5" w:rsidRDefault="004D464A" w:rsidP="008A67E5">
      <w:pPr>
        <w:keepNext/>
        <w:jc w:val="both"/>
        <w:rPr>
          <w:sz w:val="24"/>
          <w:szCs w:val="24"/>
        </w:rPr>
      </w:pPr>
      <w:r w:rsidRPr="008A67E5">
        <w:rPr>
          <w:sz w:val="24"/>
          <w:szCs w:val="24"/>
        </w:rPr>
        <w:lastRenderedPageBreak/>
        <w:t xml:space="preserve">With the exception of finance, which has the particularity of a major crisis part way through the sample, sectoral trends in intermediate trade costs mimic the aggregate trend: trade costs are falling, but at different rates in different sectors. The largest fall in trade costs is in the business services sector (15%), followed by distribution (12%), transport (8%), and post and telecommunications (6%). </w:t>
      </w:r>
      <w:r w:rsidR="00A06107" w:rsidRPr="008A67E5">
        <w:rPr>
          <w:sz w:val="24"/>
          <w:szCs w:val="24"/>
        </w:rPr>
        <w:t>Trade costs in construction increased very slightly (1%), but can essentially be regarded as static through time. In finance, trade costs increased by 12%, mostly in the 2009-2010 period.</w:t>
      </w:r>
    </w:p>
    <w:p w14:paraId="70C1B4DC" w14:textId="341A8A51" w:rsidR="00165B2B" w:rsidRPr="008A67E5" w:rsidRDefault="00165B2B" w:rsidP="008A67E5">
      <w:pPr>
        <w:pStyle w:val="Caption"/>
        <w:keepNext/>
        <w:rPr>
          <w:sz w:val="24"/>
          <w:szCs w:val="24"/>
        </w:rPr>
      </w:pPr>
      <w:r w:rsidRPr="008A67E5">
        <w:rPr>
          <w:sz w:val="24"/>
          <w:szCs w:val="24"/>
        </w:rPr>
        <w:t xml:space="preserve">Figure </w:t>
      </w:r>
      <w:r w:rsidRPr="008A67E5">
        <w:rPr>
          <w:sz w:val="24"/>
          <w:szCs w:val="24"/>
        </w:rPr>
        <w:fldChar w:fldCharType="begin"/>
      </w:r>
      <w:r w:rsidRPr="008A67E5">
        <w:rPr>
          <w:sz w:val="24"/>
          <w:szCs w:val="24"/>
        </w:rPr>
        <w:instrText xml:space="preserve"> SEQ Figure \* ARABIC </w:instrText>
      </w:r>
      <w:r w:rsidRPr="008A67E5">
        <w:rPr>
          <w:sz w:val="24"/>
          <w:szCs w:val="24"/>
        </w:rPr>
        <w:fldChar w:fldCharType="separate"/>
      </w:r>
      <w:r w:rsidR="006E58BD">
        <w:rPr>
          <w:noProof/>
          <w:sz w:val="24"/>
          <w:szCs w:val="24"/>
        </w:rPr>
        <w:t>2</w:t>
      </w:r>
      <w:r w:rsidRPr="008A67E5">
        <w:rPr>
          <w:sz w:val="24"/>
          <w:szCs w:val="24"/>
        </w:rPr>
        <w:fldChar w:fldCharType="end"/>
      </w:r>
      <w:r w:rsidRPr="008A67E5">
        <w:rPr>
          <w:sz w:val="24"/>
          <w:szCs w:val="24"/>
        </w:rPr>
        <w:t>: Trade costs for intermediate services, by sector, 1995-2011.</w:t>
      </w:r>
    </w:p>
    <w:p w14:paraId="0ABBF6DB" w14:textId="573E2C12" w:rsidR="00165B2B" w:rsidRPr="008A67E5" w:rsidRDefault="00165B2B" w:rsidP="008A67E5">
      <w:pPr>
        <w:keepNext/>
        <w:rPr>
          <w:sz w:val="24"/>
          <w:szCs w:val="24"/>
        </w:rPr>
      </w:pPr>
      <w:r w:rsidRPr="008A67E5">
        <w:rPr>
          <w:noProof/>
          <w:sz w:val="24"/>
          <w:szCs w:val="24"/>
          <w:lang w:val="en-US" w:eastAsia="en-US"/>
        </w:rPr>
        <w:drawing>
          <wp:inline distT="0" distB="0" distL="0" distR="0" wp14:anchorId="072D8157" wp14:editId="3DC85C5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EA7E91" w14:textId="70C4622D" w:rsidR="00165B2B" w:rsidRPr="008A67E5" w:rsidRDefault="00165B2B" w:rsidP="008A67E5">
      <w:pPr>
        <w:keepNext/>
        <w:rPr>
          <w:i/>
          <w:sz w:val="24"/>
          <w:szCs w:val="24"/>
        </w:rPr>
      </w:pPr>
      <w:r w:rsidRPr="008A67E5">
        <w:rPr>
          <w:i/>
          <w:sz w:val="24"/>
          <w:szCs w:val="24"/>
        </w:rPr>
        <w:t>Source: Authors’ calculations.</w:t>
      </w:r>
    </w:p>
    <w:p w14:paraId="6275F8D4" w14:textId="77777777" w:rsidR="00FB5AEB" w:rsidRPr="008A67E5" w:rsidRDefault="00840453" w:rsidP="008A67E5">
      <w:pPr>
        <w:keepNext/>
        <w:jc w:val="both"/>
        <w:rPr>
          <w:sz w:val="24"/>
          <w:szCs w:val="24"/>
        </w:rPr>
      </w:pPr>
      <w:r w:rsidRPr="008A67E5">
        <w:rPr>
          <w:sz w:val="24"/>
          <w:szCs w:val="24"/>
        </w:rPr>
        <w:t>The overall pattern of final trade costs (Figure 3) is reasonably similar to the case of intermediate trade costs, but with some important differences. First, as indicated by the aggregate data, trade costs are higher for final services compared with intermediates. This finding holds true in all cases, and the differences can be quite large, in excess of 40% in the cases of business services and construction.</w:t>
      </w:r>
      <w:r w:rsidR="00FB5AEB" w:rsidRPr="008A67E5">
        <w:rPr>
          <w:sz w:val="24"/>
          <w:szCs w:val="24"/>
        </w:rPr>
        <w:t xml:space="preserve"> </w:t>
      </w:r>
    </w:p>
    <w:p w14:paraId="38CCEBBD" w14:textId="7CA16108" w:rsidR="00FB5AEB" w:rsidRPr="008A67E5" w:rsidRDefault="00FB5AEB" w:rsidP="008A67E5">
      <w:pPr>
        <w:keepNext/>
        <w:jc w:val="both"/>
        <w:rPr>
          <w:sz w:val="24"/>
          <w:szCs w:val="24"/>
        </w:rPr>
      </w:pPr>
      <w:r w:rsidRPr="008A67E5">
        <w:rPr>
          <w:sz w:val="24"/>
          <w:szCs w:val="24"/>
        </w:rPr>
        <w:t>In terms of the distribution of final trade costs across sectors, the sector with the highest trade costs is construction, and the sector with the lowest trade costs is transport; this pattern was also observed for intermediate trade costs. Trade costs for three of the four other sectors follow a converging path, and the sample period ends with them at reasonably similar levels, intermediate between construction and transport. The exception to the overall trend is again finance, which is relatively static for most of the period, but which then jumps to a noticeably higher level post-2009. The reason for this observation is most likely the same as in the case of intermediate services: the policy and market reaction to the Global Financial Crisis.</w:t>
      </w:r>
    </w:p>
    <w:p w14:paraId="7DB9A8BC" w14:textId="0DBDBBFD" w:rsidR="00FB5AEB" w:rsidRPr="008A67E5" w:rsidRDefault="00FB5AEB" w:rsidP="008A67E5">
      <w:pPr>
        <w:keepNext/>
        <w:jc w:val="both"/>
        <w:rPr>
          <w:sz w:val="24"/>
          <w:szCs w:val="24"/>
        </w:rPr>
      </w:pPr>
      <w:r w:rsidRPr="008A67E5">
        <w:rPr>
          <w:sz w:val="24"/>
          <w:szCs w:val="24"/>
        </w:rPr>
        <w:t xml:space="preserve">Although there is generally a downwards trend in the level of final trade costs, it is not as consistent or marked across sectors as was the case for intermediate services. The </w:t>
      </w:r>
      <w:r w:rsidRPr="008A67E5">
        <w:rPr>
          <w:sz w:val="24"/>
          <w:szCs w:val="24"/>
        </w:rPr>
        <w:lastRenderedPageBreak/>
        <w:t>downwards trend is largest in the case of business services, which registered a fall in trade costs of 15% over the sample period, followed by distribution (13%). Changes for the other sectors are considerably smaller: 8% for transport, and 1% each for construction and post and telecommunications. The case of finance again stands out, as just noticed, with a 15% increase in trade costs over the sample period.</w:t>
      </w:r>
    </w:p>
    <w:p w14:paraId="0215B975" w14:textId="2634ECF0" w:rsidR="00840453" w:rsidRPr="008A67E5" w:rsidRDefault="00840453" w:rsidP="008A67E5">
      <w:pPr>
        <w:pStyle w:val="Caption"/>
        <w:keepNext/>
        <w:rPr>
          <w:sz w:val="24"/>
          <w:szCs w:val="24"/>
        </w:rPr>
      </w:pPr>
      <w:r w:rsidRPr="008A67E5">
        <w:rPr>
          <w:sz w:val="24"/>
          <w:szCs w:val="24"/>
        </w:rPr>
        <w:t xml:space="preserve">Figure </w:t>
      </w:r>
      <w:r w:rsidRPr="008A67E5">
        <w:rPr>
          <w:sz w:val="24"/>
          <w:szCs w:val="24"/>
        </w:rPr>
        <w:fldChar w:fldCharType="begin"/>
      </w:r>
      <w:r w:rsidRPr="008A67E5">
        <w:rPr>
          <w:sz w:val="24"/>
          <w:szCs w:val="24"/>
        </w:rPr>
        <w:instrText xml:space="preserve"> SEQ Figure \* ARABIC </w:instrText>
      </w:r>
      <w:r w:rsidRPr="008A67E5">
        <w:rPr>
          <w:sz w:val="24"/>
          <w:szCs w:val="24"/>
        </w:rPr>
        <w:fldChar w:fldCharType="separate"/>
      </w:r>
      <w:r w:rsidR="006E58BD">
        <w:rPr>
          <w:noProof/>
          <w:sz w:val="24"/>
          <w:szCs w:val="24"/>
        </w:rPr>
        <w:t>3</w:t>
      </w:r>
      <w:r w:rsidRPr="008A67E5">
        <w:rPr>
          <w:sz w:val="24"/>
          <w:szCs w:val="24"/>
        </w:rPr>
        <w:fldChar w:fldCharType="end"/>
      </w:r>
      <w:r w:rsidRPr="008A67E5">
        <w:rPr>
          <w:sz w:val="24"/>
          <w:szCs w:val="24"/>
        </w:rPr>
        <w:t>: Trade costs for final services, by sector, 1995-2011.</w:t>
      </w:r>
    </w:p>
    <w:p w14:paraId="39901EB5" w14:textId="77777777" w:rsidR="00840453" w:rsidRPr="008A67E5" w:rsidRDefault="00AB4471" w:rsidP="00840453">
      <w:pPr>
        <w:keepNext/>
        <w:rPr>
          <w:i/>
          <w:sz w:val="24"/>
          <w:szCs w:val="24"/>
        </w:rPr>
      </w:pPr>
      <w:r w:rsidRPr="008A67E5">
        <w:rPr>
          <w:noProof/>
          <w:sz w:val="24"/>
          <w:szCs w:val="24"/>
          <w:lang w:val="en-US" w:eastAsia="en-US"/>
        </w:rPr>
        <w:drawing>
          <wp:inline distT="0" distB="0" distL="0" distR="0" wp14:anchorId="7EC194CD" wp14:editId="5546174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40453" w:rsidRPr="008A67E5">
        <w:rPr>
          <w:i/>
          <w:sz w:val="24"/>
          <w:szCs w:val="24"/>
        </w:rPr>
        <w:t xml:space="preserve"> </w:t>
      </w:r>
    </w:p>
    <w:p w14:paraId="6F51F700" w14:textId="68F6DE2B" w:rsidR="00840453" w:rsidRPr="008A67E5" w:rsidRDefault="00840453" w:rsidP="00840453">
      <w:pPr>
        <w:keepNext/>
        <w:rPr>
          <w:i/>
          <w:sz w:val="24"/>
          <w:szCs w:val="24"/>
        </w:rPr>
      </w:pPr>
      <w:r w:rsidRPr="008A67E5">
        <w:rPr>
          <w:i/>
          <w:sz w:val="24"/>
          <w:szCs w:val="24"/>
        </w:rPr>
        <w:t>Source: Authors’ calculations.</w:t>
      </w:r>
    </w:p>
    <w:p w14:paraId="48AA2A79" w14:textId="11C4545A" w:rsidR="00AB4471" w:rsidRPr="008A67E5" w:rsidRDefault="00FB5AEB" w:rsidP="008A67E5">
      <w:pPr>
        <w:keepNext/>
        <w:jc w:val="both"/>
        <w:rPr>
          <w:sz w:val="24"/>
          <w:szCs w:val="24"/>
        </w:rPr>
      </w:pPr>
      <w:r w:rsidRPr="008A67E5">
        <w:rPr>
          <w:sz w:val="24"/>
          <w:szCs w:val="24"/>
        </w:rPr>
        <w:t xml:space="preserve">Comparing Figure 2 and Figure 3 suggests </w:t>
      </w:r>
      <w:r w:rsidR="0009215F" w:rsidRPr="008A67E5">
        <w:rPr>
          <w:sz w:val="24"/>
          <w:szCs w:val="24"/>
        </w:rPr>
        <w:t>three</w:t>
      </w:r>
      <w:r w:rsidRPr="008A67E5">
        <w:rPr>
          <w:sz w:val="24"/>
          <w:szCs w:val="24"/>
        </w:rPr>
        <w:t xml:space="preserve"> important conclusions based on the trade costs data for final and intermediate services. First, the sectoral data support the insight from aggregate data to the effect that final trade costs are considerably higher than intermediate trade costs. </w:t>
      </w:r>
      <w:r w:rsidR="0009215F" w:rsidRPr="008A67E5">
        <w:rPr>
          <w:sz w:val="24"/>
          <w:szCs w:val="24"/>
        </w:rPr>
        <w:t xml:space="preserve">Second, both final and intermediate trade costs are generally on a downwards trend, but the rate of change varies considerably across sectors. The trend is noticeably more pronounced in the case of intermediate trade costs. Finally, the financial services sector stands out as the only one in which both final and intermediate trade costs have increased substantially over the sample period. The increase is largely due to </w:t>
      </w:r>
      <w:r w:rsidR="00EE59C3">
        <w:rPr>
          <w:sz w:val="24"/>
          <w:szCs w:val="24"/>
        </w:rPr>
        <w:t xml:space="preserve">regulatory </w:t>
      </w:r>
      <w:r w:rsidR="0009215F" w:rsidRPr="008A67E5">
        <w:rPr>
          <w:sz w:val="24"/>
          <w:szCs w:val="24"/>
        </w:rPr>
        <w:t xml:space="preserve">changes </w:t>
      </w:r>
      <w:r w:rsidR="00EE59C3">
        <w:rPr>
          <w:sz w:val="24"/>
          <w:szCs w:val="24"/>
        </w:rPr>
        <w:t xml:space="preserve">induced by </w:t>
      </w:r>
      <w:r w:rsidR="0009215F" w:rsidRPr="008A67E5">
        <w:rPr>
          <w:sz w:val="24"/>
          <w:szCs w:val="24"/>
        </w:rPr>
        <w:t xml:space="preserve">the Global Financial Crisis, which suggests that policy might have played an important role, along with market factors such as the re-pricing of risk. To further explore the links between applied services trade policies and trade costs outcomes, the following section presents results from fully specified econometric models in which intermediate and final trade costs are linked to data on restrictions to services trade, as well as </w:t>
      </w:r>
      <w:r w:rsidR="00EE59C3">
        <w:rPr>
          <w:sz w:val="24"/>
          <w:szCs w:val="24"/>
        </w:rPr>
        <w:t xml:space="preserve">to </w:t>
      </w:r>
      <w:r w:rsidR="0009215F" w:rsidRPr="008A67E5">
        <w:rPr>
          <w:sz w:val="24"/>
          <w:szCs w:val="24"/>
        </w:rPr>
        <w:t>a set of control variables.</w:t>
      </w:r>
    </w:p>
    <w:p w14:paraId="2068FABB" w14:textId="77777777" w:rsidR="009A693E" w:rsidRDefault="009A693E" w:rsidP="00831091">
      <w:pPr>
        <w:pStyle w:val="Heading1"/>
      </w:pPr>
      <w:r>
        <w:t>5. Econometric analysis: barriers to trade in services and trade costs</w:t>
      </w:r>
    </w:p>
    <w:p w14:paraId="7667A1BC" w14:textId="33E4B1A0" w:rsidR="00736CB3" w:rsidRPr="008A67E5" w:rsidRDefault="00736CB3" w:rsidP="008A67E5">
      <w:pPr>
        <w:jc w:val="both"/>
        <w:rPr>
          <w:sz w:val="24"/>
          <w:szCs w:val="24"/>
        </w:rPr>
      </w:pPr>
      <w:r w:rsidRPr="008A67E5">
        <w:rPr>
          <w:sz w:val="24"/>
          <w:szCs w:val="24"/>
        </w:rPr>
        <w:t xml:space="preserve">This part of the paper analyses the determinants of trade costs in final and intermediate services. Following Novy and Chen (2011), the approach is to specify econometric models </w:t>
      </w:r>
      <w:r w:rsidRPr="008A67E5">
        <w:rPr>
          <w:sz w:val="24"/>
          <w:szCs w:val="24"/>
        </w:rPr>
        <w:lastRenderedPageBreak/>
        <w:t>with trade costs as the dependent variables, and a set of gravity-like variables assumed to influence trade costs as the independent variables. Models are estimated separately for final and intermediate services. The key variable of interest is the STRI</w:t>
      </w:r>
      <w:r w:rsidR="00EF07AB" w:rsidRPr="008A67E5">
        <w:rPr>
          <w:sz w:val="24"/>
          <w:szCs w:val="24"/>
        </w:rPr>
        <w:t>: we expect it to have a positive and statistically significant coefficient, which would indicate that more restrictive services trade policies tend to increase trade costs. Such a result would be in line with those of van der Marel and Shepherd (2013), but with the added dimensions of: a focus on trade costs rather than trade flows; a distinction between intermediate and final trade; and use of the OECD STRI rather than its World Bank counterpart, which has the advantages noted above.</w:t>
      </w:r>
    </w:p>
    <w:p w14:paraId="00B4A648" w14:textId="77777777" w:rsidR="00EF07AB" w:rsidRPr="008A67E5" w:rsidRDefault="0030188A" w:rsidP="008A67E5">
      <w:pPr>
        <w:jc w:val="both"/>
        <w:rPr>
          <w:sz w:val="24"/>
          <w:szCs w:val="24"/>
        </w:rPr>
      </w:pPr>
      <w:r w:rsidRPr="008A67E5">
        <w:rPr>
          <w:sz w:val="24"/>
          <w:szCs w:val="24"/>
        </w:rPr>
        <w:t>To take a first pass at the data, pooled estimation is used with fixed effects by exporter-sector and importer-sector to account for unobserved heterogeneity. The flexibility of the fixed effects formulation means that in terms of observables, it is only necessary to focus on data that vary bilaterally and at the sector level. The two estimating equations are as follows, again treating trade in final services and trade in intermediate services separately:</w:t>
      </w:r>
    </w:p>
    <w:p w14:paraId="2D5BCABC" w14:textId="45EFE01A" w:rsidR="0030188A" w:rsidRPr="005E78B9" w:rsidRDefault="0030188A" w:rsidP="0030188A">
      <w:pPr>
        <w:jc w:val="right"/>
        <w:rPr>
          <w:sz w:val="24"/>
          <w:szCs w:val="24"/>
        </w:rPr>
      </w:pPr>
      <w:r w:rsidRPr="005E78B9">
        <w:rPr>
          <w:sz w:val="24"/>
          <w:szCs w:val="24"/>
        </w:rPr>
        <w:tab/>
        <w:t xml:space="preserve">      </w:t>
      </w:r>
      <m:oMath>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τ</m:t>
                    </m:r>
                  </m:e>
                  <m:sub>
                    <m:r>
                      <w:rPr>
                        <w:rFonts w:ascii="Cambria Math" w:hAnsi="Cambria Math"/>
                        <w:sz w:val="24"/>
                        <w:szCs w:val="24"/>
                      </w:rPr>
                      <m:t>ij</m:t>
                    </m:r>
                  </m:sub>
                  <m:sup>
                    <m:r>
                      <w:rPr>
                        <w:rFonts w:ascii="Cambria Math" w:hAnsi="Cambria Math"/>
                        <w:sz w:val="24"/>
                        <w:szCs w:val="24"/>
                      </w:rPr>
                      <m:t>f,k</m:t>
                    </m:r>
                  </m:sup>
                </m:sSubSup>
              </m:e>
            </m:d>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STR</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ij</m:t>
                    </m:r>
                  </m:sub>
                  <m:sup>
                    <m:r>
                      <w:rPr>
                        <w:rFonts w:ascii="Cambria Math" w:hAnsi="Cambria Math"/>
                        <w:sz w:val="24"/>
                        <w:szCs w:val="24"/>
                      </w:rPr>
                      <m:t>k</m:t>
                    </m:r>
                  </m:sup>
                </m:sSubSup>
              </m:e>
            </m:d>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(distanc</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ij</m:t>
                </m:r>
              </m:sub>
            </m:sSub>
            <m:r>
              <w:rPr>
                <w:rFonts w:ascii="Cambria Math" w:hAnsi="Cambria Math"/>
                <w:sz w:val="24"/>
                <w:szCs w:val="24"/>
              </w:rPr>
              <m:t>)</m:t>
            </m:r>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3</m:t>
            </m:r>
          </m:sub>
        </m:sSub>
        <m:r>
          <w:rPr>
            <w:rFonts w:ascii="Cambria Math" w:hAnsi="Cambria Math"/>
            <w:sz w:val="24"/>
            <w:szCs w:val="24"/>
          </w:rPr>
          <m:t>common lan</m:t>
        </m:r>
        <m:sSub>
          <m:sSubPr>
            <m:ctrlPr>
              <w:rPr>
                <w:rFonts w:ascii="Cambria Math" w:hAnsi="Cambria Math"/>
                <w:i/>
                <w:sz w:val="24"/>
                <w:szCs w:val="24"/>
              </w:rPr>
            </m:ctrlPr>
          </m:sSubPr>
          <m:e>
            <m:r>
              <w:rPr>
                <w:rFonts w:ascii="Cambria Math" w:hAnsi="Cambria Math"/>
                <w:sz w:val="24"/>
                <w:szCs w:val="24"/>
              </w:rPr>
              <m:t>guage</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4</m:t>
            </m:r>
          </m:sub>
        </m:sSub>
        <m:r>
          <w:rPr>
            <w:rFonts w:ascii="Cambria Math" w:hAnsi="Cambria Math"/>
            <w:sz w:val="24"/>
            <w:szCs w:val="24"/>
          </w:rPr>
          <m:t>colony+</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5</m:t>
            </m:r>
          </m:sub>
        </m:sSub>
        <m:r>
          <w:rPr>
            <w:rFonts w:ascii="Cambria Math" w:hAnsi="Cambria Math"/>
            <w:sz w:val="24"/>
            <w:szCs w:val="24"/>
          </w:rPr>
          <m:t>same country+</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sup>
          <m:e>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m:t>
                </m:r>
              </m:sup>
              <m:e>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i</m:t>
                    </m:r>
                  </m:sub>
                  <m:sup>
                    <m:r>
                      <w:rPr>
                        <w:rFonts w:ascii="Cambria Math" w:hAnsi="Cambria Math"/>
                        <w:sz w:val="24"/>
                        <w:szCs w:val="24"/>
                      </w:rPr>
                      <m:t>k</m:t>
                    </m:r>
                  </m:sup>
                </m:sSubSup>
              </m:e>
            </m:nary>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sup>
          <m:e>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m:t>
                </m:r>
              </m:sup>
              <m:e>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j</m:t>
                    </m:r>
                  </m:sub>
                  <m:sup>
                    <m:r>
                      <w:rPr>
                        <w:rFonts w:ascii="Cambria Math" w:hAnsi="Cambria Math"/>
                        <w:sz w:val="24"/>
                        <w:szCs w:val="24"/>
                      </w:rPr>
                      <m:t>k</m:t>
                    </m:r>
                  </m:sup>
                </m:sSubSup>
              </m:e>
            </m:nary>
          </m:e>
        </m:nary>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ij</m:t>
            </m:r>
          </m:sub>
          <m:sup>
            <m:r>
              <w:rPr>
                <w:rFonts w:ascii="Cambria Math" w:hAnsi="Cambria Math"/>
                <w:sz w:val="24"/>
                <w:szCs w:val="24"/>
              </w:rPr>
              <m:t>k</m:t>
            </m:r>
          </m:sup>
        </m:sSubSup>
      </m:oMath>
      <w:r w:rsidR="0034239F" w:rsidRPr="005E78B9">
        <w:rPr>
          <w:sz w:val="24"/>
          <w:szCs w:val="24"/>
        </w:rPr>
        <w:tab/>
      </w:r>
      <w:r w:rsidR="0034239F" w:rsidRPr="005E78B9">
        <w:rPr>
          <w:sz w:val="24"/>
          <w:szCs w:val="24"/>
        </w:rPr>
        <w:tab/>
      </w:r>
      <w:r w:rsidR="0034239F" w:rsidRPr="005E78B9">
        <w:rPr>
          <w:sz w:val="24"/>
          <w:szCs w:val="24"/>
        </w:rPr>
        <w:tab/>
      </w:r>
      <w:r w:rsidR="0034239F" w:rsidRPr="005E78B9">
        <w:rPr>
          <w:sz w:val="24"/>
          <w:szCs w:val="24"/>
        </w:rPr>
        <w:tab/>
        <w:t>(15</w:t>
      </w:r>
      <w:r w:rsidRPr="005E78B9">
        <w:rPr>
          <w:sz w:val="24"/>
          <w:szCs w:val="24"/>
        </w:rPr>
        <w:t>)</w:t>
      </w:r>
    </w:p>
    <w:p w14:paraId="357D5914" w14:textId="77777777" w:rsidR="0034239F" w:rsidRPr="005E78B9" w:rsidRDefault="0034239F" w:rsidP="0034239F">
      <w:pPr>
        <w:jc w:val="right"/>
        <w:rPr>
          <w:sz w:val="24"/>
          <w:szCs w:val="24"/>
        </w:rPr>
      </w:pPr>
      <w:r w:rsidRPr="005E78B9">
        <w:rPr>
          <w:sz w:val="24"/>
          <w:szCs w:val="24"/>
        </w:rPr>
        <w:tab/>
        <w:t xml:space="preserve">      </w:t>
      </w:r>
      <m:oMath>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τ</m:t>
                    </m:r>
                  </m:e>
                  <m:sub>
                    <m:r>
                      <w:rPr>
                        <w:rFonts w:ascii="Cambria Math" w:hAnsi="Cambria Math"/>
                        <w:sz w:val="24"/>
                        <w:szCs w:val="24"/>
                      </w:rPr>
                      <m:t>ij</m:t>
                    </m:r>
                  </m:sub>
                  <m:sup>
                    <m:r>
                      <w:rPr>
                        <w:rFonts w:ascii="Cambria Math" w:hAnsi="Cambria Math"/>
                        <w:sz w:val="24"/>
                        <w:szCs w:val="24"/>
                      </w:rPr>
                      <m:t>m,k</m:t>
                    </m:r>
                  </m:sup>
                </m:sSubSup>
              </m:e>
            </m:d>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STR</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ij</m:t>
                    </m:r>
                  </m:sub>
                  <m:sup>
                    <m:r>
                      <w:rPr>
                        <w:rFonts w:ascii="Cambria Math" w:hAnsi="Cambria Math"/>
                        <w:sz w:val="24"/>
                        <w:szCs w:val="24"/>
                      </w:rPr>
                      <m:t>k</m:t>
                    </m:r>
                  </m:sup>
                </m:sSubSup>
              </m:e>
            </m:d>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(distanc</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ij</m:t>
                </m:r>
              </m:sub>
            </m:sSub>
            <m:r>
              <w:rPr>
                <w:rFonts w:ascii="Cambria Math" w:hAnsi="Cambria Math"/>
                <w:sz w:val="24"/>
                <w:szCs w:val="24"/>
              </w:rPr>
              <m:t>)</m:t>
            </m:r>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3</m:t>
            </m:r>
          </m:sub>
        </m:sSub>
        <m:r>
          <w:rPr>
            <w:rFonts w:ascii="Cambria Math" w:hAnsi="Cambria Math"/>
            <w:sz w:val="24"/>
            <w:szCs w:val="24"/>
          </w:rPr>
          <m:t>common lan</m:t>
        </m:r>
        <m:sSub>
          <m:sSubPr>
            <m:ctrlPr>
              <w:rPr>
                <w:rFonts w:ascii="Cambria Math" w:hAnsi="Cambria Math"/>
                <w:i/>
                <w:sz w:val="24"/>
                <w:szCs w:val="24"/>
              </w:rPr>
            </m:ctrlPr>
          </m:sSubPr>
          <m:e>
            <m:r>
              <w:rPr>
                <w:rFonts w:ascii="Cambria Math" w:hAnsi="Cambria Math"/>
                <w:sz w:val="24"/>
                <w:szCs w:val="24"/>
              </w:rPr>
              <m:t>guage</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4</m:t>
            </m:r>
          </m:sub>
        </m:sSub>
        <m:r>
          <w:rPr>
            <w:rFonts w:ascii="Cambria Math" w:hAnsi="Cambria Math"/>
            <w:sz w:val="24"/>
            <w:szCs w:val="24"/>
          </w:rPr>
          <m:t>col</m:t>
        </m:r>
        <m:r>
          <w:rPr>
            <w:rFonts w:ascii="Cambria Math" w:hAnsi="Cambria Math"/>
            <w:sz w:val="24"/>
            <w:szCs w:val="24"/>
          </w:rPr>
          <m:t>ony+</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5</m:t>
            </m:r>
          </m:sub>
        </m:sSub>
        <m:r>
          <w:rPr>
            <w:rFonts w:ascii="Cambria Math" w:hAnsi="Cambria Math"/>
            <w:sz w:val="24"/>
            <w:szCs w:val="24"/>
          </w:rPr>
          <m:t>same country+</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sup>
          <m:e>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m:t>
                </m:r>
              </m:sup>
              <m:e>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i</m:t>
                    </m:r>
                  </m:sub>
                  <m:sup>
                    <m:r>
                      <w:rPr>
                        <w:rFonts w:ascii="Cambria Math" w:hAnsi="Cambria Math"/>
                        <w:sz w:val="24"/>
                        <w:szCs w:val="24"/>
                      </w:rPr>
                      <m:t>k</m:t>
                    </m:r>
                  </m:sup>
                </m:sSubSup>
              </m:e>
            </m:nary>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sup>
          <m:e>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m:t>
                </m:r>
              </m:sup>
              <m:e>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j</m:t>
                    </m:r>
                  </m:sub>
                  <m:sup>
                    <m:r>
                      <w:rPr>
                        <w:rFonts w:ascii="Cambria Math" w:hAnsi="Cambria Math"/>
                        <w:sz w:val="24"/>
                        <w:szCs w:val="24"/>
                      </w:rPr>
                      <m:t>k</m:t>
                    </m:r>
                  </m:sup>
                </m:sSubSup>
              </m:e>
            </m:nary>
          </m:e>
        </m:nary>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ij</m:t>
            </m:r>
          </m:sub>
          <m:sup>
            <m:r>
              <w:rPr>
                <w:rFonts w:ascii="Cambria Math" w:hAnsi="Cambria Math"/>
                <w:sz w:val="24"/>
                <w:szCs w:val="24"/>
              </w:rPr>
              <m:t>k</m:t>
            </m:r>
          </m:sup>
        </m:sSubSup>
      </m:oMath>
      <w:r w:rsidRPr="005E78B9">
        <w:rPr>
          <w:sz w:val="24"/>
          <w:szCs w:val="24"/>
        </w:rPr>
        <w:tab/>
      </w:r>
      <w:r w:rsidRPr="005E78B9">
        <w:rPr>
          <w:sz w:val="24"/>
          <w:szCs w:val="24"/>
        </w:rPr>
        <w:tab/>
      </w:r>
      <w:r w:rsidRPr="005E78B9">
        <w:rPr>
          <w:sz w:val="24"/>
          <w:szCs w:val="24"/>
        </w:rPr>
        <w:tab/>
      </w:r>
      <w:r w:rsidRPr="005E78B9">
        <w:rPr>
          <w:sz w:val="24"/>
          <w:szCs w:val="24"/>
        </w:rPr>
        <w:tab/>
        <w:t>(16)</w:t>
      </w:r>
    </w:p>
    <w:p w14:paraId="24CF1DE2" w14:textId="0081BAEE" w:rsidR="0030188A" w:rsidRPr="008A67E5" w:rsidRDefault="0034239F" w:rsidP="008A67E5">
      <w:pPr>
        <w:jc w:val="both"/>
        <w:rPr>
          <w:sz w:val="24"/>
          <w:szCs w:val="24"/>
        </w:rPr>
      </w:pPr>
      <w:r w:rsidRPr="008A67E5">
        <w:rPr>
          <w:sz w:val="24"/>
          <w:szCs w:val="24"/>
        </w:rPr>
        <w:t>where: STRI comes from the OECD dataset</w:t>
      </w:r>
      <w:r w:rsidR="00425F37" w:rsidRPr="008A67E5">
        <w:rPr>
          <w:sz w:val="24"/>
          <w:szCs w:val="24"/>
        </w:rPr>
        <w:t>, and is transformed into a bilateral variable by taking the geometric average of the exporter and importer scores</w:t>
      </w:r>
      <w:r w:rsidRPr="008A67E5">
        <w:rPr>
          <w:sz w:val="24"/>
          <w:szCs w:val="24"/>
        </w:rPr>
        <w:t>; distance, common language, colony, and same country are taken from the CEPII distance dataset; the d terms are fixed effects; and e is the error term. As in the exposition above, i and j index exporters and importers respectively, and f and m refer to final and intermediate trade. The k index refers to sectors within each type of trade.</w:t>
      </w:r>
    </w:p>
    <w:p w14:paraId="38BA3F85" w14:textId="75C522AC" w:rsidR="0034239F" w:rsidRPr="008A67E5" w:rsidRDefault="0034239F" w:rsidP="008A67E5">
      <w:pPr>
        <w:jc w:val="both"/>
        <w:rPr>
          <w:sz w:val="24"/>
          <w:szCs w:val="24"/>
        </w:rPr>
      </w:pPr>
      <w:r w:rsidRPr="008A67E5">
        <w:rPr>
          <w:sz w:val="24"/>
          <w:szCs w:val="24"/>
        </w:rPr>
        <w:t xml:space="preserve">Equations 15 and 16 are both log-linearized models with strong similarities to the standard gravity model, from which they are of course derived. </w:t>
      </w:r>
      <w:r w:rsidR="00EE59C3">
        <w:rPr>
          <w:sz w:val="24"/>
          <w:szCs w:val="24"/>
        </w:rPr>
        <w:t>The c</w:t>
      </w:r>
      <w:r w:rsidRPr="008A67E5">
        <w:rPr>
          <w:sz w:val="24"/>
          <w:szCs w:val="24"/>
        </w:rPr>
        <w:t xml:space="preserve">hoice of estimation method is therefore an issue. </w:t>
      </w:r>
      <w:r w:rsidR="009D25B1">
        <w:rPr>
          <w:sz w:val="24"/>
          <w:szCs w:val="24"/>
        </w:rPr>
        <w:t xml:space="preserve">Following </w:t>
      </w:r>
      <w:r w:rsidRPr="008A67E5">
        <w:rPr>
          <w:sz w:val="24"/>
          <w:szCs w:val="24"/>
        </w:rPr>
        <w:t>Santos Silva and Tenreyro (2006)</w:t>
      </w:r>
      <w:r w:rsidR="009D25B1">
        <w:rPr>
          <w:sz w:val="24"/>
          <w:szCs w:val="24"/>
        </w:rPr>
        <w:t>,</w:t>
      </w:r>
      <w:r w:rsidR="009D25B1">
        <w:rPr>
          <w:rStyle w:val="FootnoteReference"/>
          <w:sz w:val="24"/>
          <w:szCs w:val="24"/>
        </w:rPr>
        <w:footnoteReference w:id="4"/>
      </w:r>
      <w:r w:rsidR="009D25B1">
        <w:rPr>
          <w:sz w:val="24"/>
          <w:szCs w:val="24"/>
        </w:rPr>
        <w:t xml:space="preserve"> the model is estimated by Poisson pseudo-maximum likelihood, which we are </w:t>
      </w:r>
      <w:r w:rsidR="007E308F" w:rsidRPr="008A67E5">
        <w:rPr>
          <w:sz w:val="24"/>
          <w:szCs w:val="24"/>
        </w:rPr>
        <w:t xml:space="preserve">confident </w:t>
      </w:r>
      <w:r w:rsidR="009D25B1">
        <w:rPr>
          <w:sz w:val="24"/>
          <w:szCs w:val="24"/>
        </w:rPr>
        <w:t>provides</w:t>
      </w:r>
      <w:r w:rsidR="007E308F" w:rsidRPr="008A67E5">
        <w:rPr>
          <w:sz w:val="24"/>
          <w:szCs w:val="24"/>
        </w:rPr>
        <w:t xml:space="preserve"> estimates </w:t>
      </w:r>
      <w:r w:rsidR="009D25B1">
        <w:rPr>
          <w:sz w:val="24"/>
          <w:szCs w:val="24"/>
        </w:rPr>
        <w:t>that</w:t>
      </w:r>
      <w:r w:rsidR="007E308F" w:rsidRPr="008A67E5">
        <w:rPr>
          <w:sz w:val="24"/>
          <w:szCs w:val="24"/>
        </w:rPr>
        <w:t xml:space="preserve"> are consistent where alternative methods, such as OLS, may not be.</w:t>
      </w:r>
    </w:p>
    <w:p w14:paraId="5C2391AE" w14:textId="77777777" w:rsidR="007E308F" w:rsidRPr="008A67E5" w:rsidRDefault="007E308F" w:rsidP="008A67E5">
      <w:pPr>
        <w:jc w:val="both"/>
        <w:rPr>
          <w:sz w:val="24"/>
          <w:szCs w:val="24"/>
        </w:rPr>
      </w:pPr>
      <w:r w:rsidRPr="008A67E5">
        <w:rPr>
          <w:sz w:val="24"/>
          <w:szCs w:val="24"/>
        </w:rPr>
        <w:lastRenderedPageBreak/>
        <w:t xml:space="preserve">Estimation results are in Table 1. With the exception of the same country dummy, all gravity model controls have </w:t>
      </w:r>
      <w:r w:rsidR="003C7036" w:rsidRPr="008A67E5">
        <w:rPr>
          <w:sz w:val="24"/>
          <w:szCs w:val="24"/>
        </w:rPr>
        <w:t xml:space="preserve">coefficients with </w:t>
      </w:r>
      <w:r w:rsidRPr="008A67E5">
        <w:rPr>
          <w:sz w:val="24"/>
          <w:szCs w:val="24"/>
        </w:rPr>
        <w:t xml:space="preserve">the expected signs, </w:t>
      </w:r>
      <w:r w:rsidR="003C7036" w:rsidRPr="008A67E5">
        <w:rPr>
          <w:sz w:val="24"/>
          <w:szCs w:val="24"/>
        </w:rPr>
        <w:t>and sensible magnitudes, and are statistically significant at the 1% level in both the final and intermediate trade models. Economies that are more distant from each other have higher trade costs, while those that share a common language, or where one economy was once a colony of the other, exhibit lower trade costs.</w:t>
      </w:r>
    </w:p>
    <w:p w14:paraId="5B989B2C" w14:textId="77777777" w:rsidR="003C7036" w:rsidRPr="008A67E5" w:rsidRDefault="003C7036" w:rsidP="008A67E5">
      <w:pPr>
        <w:jc w:val="both"/>
        <w:rPr>
          <w:sz w:val="24"/>
          <w:szCs w:val="24"/>
        </w:rPr>
      </w:pPr>
      <w:r w:rsidRPr="008A67E5">
        <w:rPr>
          <w:sz w:val="24"/>
          <w:szCs w:val="24"/>
        </w:rPr>
        <w:t>The key variable of interest is the STRI. In both models, it has a positive coefficient that is 1% statistically significant. For final trade, a 10% increase in the STRI (i.e., a higher level of restrictiveness) is associated with an increase in trade costs of 2.7%. For intermediate trade, a similar change in the STRI is associated with a 3.1% increase in trade costs. Although the elasticity for intermediate trade is slightly larger than for final trade—which could indicate that intermediate trade is more sensitive to policy restrictions than final trade—the difference between the two is not statistically significant, so this apparent difference should be interpreted cautiously. In general, however, it can be safely concluded that policy is an important determinant of trade costs in services both in terms of trade in final services and trade in intermediate services.</w:t>
      </w:r>
    </w:p>
    <w:p w14:paraId="60F17EB3" w14:textId="77777777" w:rsidR="00000CED" w:rsidRDefault="00000CED">
      <w:pPr>
        <w:rPr>
          <w:i/>
          <w:iCs/>
          <w:color w:val="1F497D" w:themeColor="text2"/>
          <w:sz w:val="24"/>
          <w:szCs w:val="24"/>
        </w:rPr>
      </w:pPr>
      <w:r>
        <w:rPr>
          <w:sz w:val="24"/>
          <w:szCs w:val="24"/>
        </w:rPr>
        <w:br w:type="page"/>
      </w:r>
    </w:p>
    <w:p w14:paraId="0885D475" w14:textId="07A1B034" w:rsidR="007E308F" w:rsidRPr="008A67E5" w:rsidRDefault="007E308F" w:rsidP="008A67E5">
      <w:pPr>
        <w:pStyle w:val="Caption"/>
        <w:keepNext/>
        <w:rPr>
          <w:sz w:val="24"/>
          <w:szCs w:val="24"/>
        </w:rPr>
      </w:pPr>
      <w:r w:rsidRPr="008A67E5">
        <w:rPr>
          <w:sz w:val="24"/>
          <w:szCs w:val="24"/>
        </w:rPr>
        <w:lastRenderedPageBreak/>
        <w:t xml:space="preserve">Table </w:t>
      </w:r>
      <w:r w:rsidRPr="008A67E5">
        <w:rPr>
          <w:sz w:val="24"/>
          <w:szCs w:val="24"/>
        </w:rPr>
        <w:fldChar w:fldCharType="begin"/>
      </w:r>
      <w:r w:rsidRPr="008A67E5">
        <w:rPr>
          <w:sz w:val="24"/>
          <w:szCs w:val="24"/>
        </w:rPr>
        <w:instrText xml:space="preserve"> SEQ Table \* ARABIC </w:instrText>
      </w:r>
      <w:r w:rsidRPr="008A67E5">
        <w:rPr>
          <w:sz w:val="24"/>
          <w:szCs w:val="24"/>
        </w:rPr>
        <w:fldChar w:fldCharType="separate"/>
      </w:r>
      <w:r w:rsidR="006E58BD">
        <w:rPr>
          <w:noProof/>
          <w:sz w:val="24"/>
          <w:szCs w:val="24"/>
        </w:rPr>
        <w:t>1</w:t>
      </w:r>
      <w:r w:rsidRPr="008A67E5">
        <w:rPr>
          <w:sz w:val="24"/>
          <w:szCs w:val="24"/>
        </w:rPr>
        <w:fldChar w:fldCharType="end"/>
      </w:r>
      <w:r w:rsidRPr="008A67E5">
        <w:rPr>
          <w:sz w:val="24"/>
          <w:szCs w:val="24"/>
        </w:rPr>
        <w:t>: Estimation results for the pooled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196"/>
        <w:gridCol w:w="1494"/>
      </w:tblGrid>
      <w:tr w:rsidR="007E308F" w:rsidRPr="005E78B9" w14:paraId="7A980AA2" w14:textId="77777777" w:rsidTr="008A67E5">
        <w:trPr>
          <w:trHeight w:val="300"/>
        </w:trPr>
        <w:tc>
          <w:tcPr>
            <w:tcW w:w="0" w:type="auto"/>
            <w:tcBorders>
              <w:top w:val="single" w:sz="4" w:space="0" w:color="auto"/>
            </w:tcBorders>
            <w:noWrap/>
            <w:hideMark/>
          </w:tcPr>
          <w:p w14:paraId="11344E72" w14:textId="77777777" w:rsidR="007E308F" w:rsidRPr="008A67E5" w:rsidRDefault="007E308F">
            <w:pPr>
              <w:rPr>
                <w:sz w:val="24"/>
                <w:szCs w:val="24"/>
              </w:rPr>
            </w:pPr>
          </w:p>
        </w:tc>
        <w:tc>
          <w:tcPr>
            <w:tcW w:w="0" w:type="auto"/>
            <w:tcBorders>
              <w:top w:val="single" w:sz="4" w:space="0" w:color="auto"/>
            </w:tcBorders>
            <w:noWrap/>
            <w:hideMark/>
          </w:tcPr>
          <w:p w14:paraId="1EB218E6" w14:textId="77777777" w:rsidR="007E308F" w:rsidRPr="008A67E5" w:rsidRDefault="007E308F">
            <w:pPr>
              <w:rPr>
                <w:sz w:val="24"/>
                <w:szCs w:val="24"/>
              </w:rPr>
            </w:pPr>
            <w:r w:rsidRPr="008A67E5">
              <w:rPr>
                <w:sz w:val="24"/>
                <w:szCs w:val="24"/>
              </w:rPr>
              <w:t>(1)</w:t>
            </w:r>
          </w:p>
        </w:tc>
        <w:tc>
          <w:tcPr>
            <w:tcW w:w="0" w:type="auto"/>
            <w:tcBorders>
              <w:top w:val="single" w:sz="4" w:space="0" w:color="auto"/>
            </w:tcBorders>
            <w:noWrap/>
            <w:hideMark/>
          </w:tcPr>
          <w:p w14:paraId="3171ECD9" w14:textId="77777777" w:rsidR="007E308F" w:rsidRPr="008A67E5" w:rsidRDefault="007E308F">
            <w:pPr>
              <w:rPr>
                <w:sz w:val="24"/>
                <w:szCs w:val="24"/>
              </w:rPr>
            </w:pPr>
            <w:r w:rsidRPr="008A67E5">
              <w:rPr>
                <w:sz w:val="24"/>
                <w:szCs w:val="24"/>
              </w:rPr>
              <w:t>(2)</w:t>
            </w:r>
          </w:p>
        </w:tc>
      </w:tr>
      <w:tr w:rsidR="007E308F" w:rsidRPr="005E78B9" w14:paraId="2A49404E" w14:textId="77777777" w:rsidTr="008A67E5">
        <w:trPr>
          <w:trHeight w:val="300"/>
        </w:trPr>
        <w:tc>
          <w:tcPr>
            <w:tcW w:w="0" w:type="auto"/>
            <w:tcBorders>
              <w:bottom w:val="single" w:sz="4" w:space="0" w:color="auto"/>
            </w:tcBorders>
            <w:noWrap/>
            <w:hideMark/>
          </w:tcPr>
          <w:p w14:paraId="35DCE5D5" w14:textId="77777777" w:rsidR="007E308F" w:rsidRPr="008A67E5" w:rsidRDefault="007E308F">
            <w:pPr>
              <w:rPr>
                <w:sz w:val="24"/>
                <w:szCs w:val="24"/>
              </w:rPr>
            </w:pPr>
          </w:p>
        </w:tc>
        <w:tc>
          <w:tcPr>
            <w:tcW w:w="0" w:type="auto"/>
            <w:tcBorders>
              <w:bottom w:val="single" w:sz="4" w:space="0" w:color="auto"/>
            </w:tcBorders>
            <w:noWrap/>
            <w:hideMark/>
          </w:tcPr>
          <w:p w14:paraId="7669F551" w14:textId="77777777" w:rsidR="007E308F" w:rsidRPr="008A67E5" w:rsidRDefault="007E308F">
            <w:pPr>
              <w:rPr>
                <w:sz w:val="24"/>
                <w:szCs w:val="24"/>
              </w:rPr>
            </w:pPr>
            <w:r w:rsidRPr="008A67E5">
              <w:rPr>
                <w:sz w:val="24"/>
                <w:szCs w:val="24"/>
              </w:rPr>
              <w:t>Final</w:t>
            </w:r>
          </w:p>
        </w:tc>
        <w:tc>
          <w:tcPr>
            <w:tcW w:w="0" w:type="auto"/>
            <w:tcBorders>
              <w:bottom w:val="single" w:sz="4" w:space="0" w:color="auto"/>
            </w:tcBorders>
            <w:noWrap/>
            <w:hideMark/>
          </w:tcPr>
          <w:p w14:paraId="59F51591" w14:textId="77777777" w:rsidR="007E308F" w:rsidRPr="008A67E5" w:rsidRDefault="007E308F">
            <w:pPr>
              <w:rPr>
                <w:sz w:val="24"/>
                <w:szCs w:val="24"/>
              </w:rPr>
            </w:pPr>
            <w:r w:rsidRPr="008A67E5">
              <w:rPr>
                <w:sz w:val="24"/>
                <w:szCs w:val="24"/>
              </w:rPr>
              <w:t>Intermediate</w:t>
            </w:r>
          </w:p>
        </w:tc>
      </w:tr>
      <w:tr w:rsidR="007E308F" w:rsidRPr="005E78B9" w14:paraId="279A409A" w14:textId="77777777" w:rsidTr="008A67E5">
        <w:trPr>
          <w:trHeight w:val="300"/>
        </w:trPr>
        <w:tc>
          <w:tcPr>
            <w:tcW w:w="0" w:type="auto"/>
            <w:tcBorders>
              <w:top w:val="single" w:sz="4" w:space="0" w:color="auto"/>
            </w:tcBorders>
            <w:noWrap/>
            <w:hideMark/>
          </w:tcPr>
          <w:p w14:paraId="5734C800" w14:textId="77777777" w:rsidR="007E308F" w:rsidRPr="008A67E5" w:rsidRDefault="007E308F">
            <w:pPr>
              <w:rPr>
                <w:sz w:val="24"/>
                <w:szCs w:val="24"/>
              </w:rPr>
            </w:pPr>
            <w:r w:rsidRPr="008A67E5">
              <w:rPr>
                <w:sz w:val="24"/>
                <w:szCs w:val="24"/>
              </w:rPr>
              <w:t>Log(STRI)</w:t>
            </w:r>
          </w:p>
        </w:tc>
        <w:tc>
          <w:tcPr>
            <w:tcW w:w="0" w:type="auto"/>
            <w:tcBorders>
              <w:top w:val="single" w:sz="4" w:space="0" w:color="auto"/>
            </w:tcBorders>
            <w:noWrap/>
            <w:hideMark/>
          </w:tcPr>
          <w:p w14:paraId="1EE995C6" w14:textId="77777777" w:rsidR="007E308F" w:rsidRPr="008A67E5" w:rsidRDefault="007E308F">
            <w:pPr>
              <w:rPr>
                <w:sz w:val="24"/>
                <w:szCs w:val="24"/>
              </w:rPr>
            </w:pPr>
            <w:r w:rsidRPr="008A67E5">
              <w:rPr>
                <w:sz w:val="24"/>
                <w:szCs w:val="24"/>
              </w:rPr>
              <w:t>0.265***</w:t>
            </w:r>
          </w:p>
        </w:tc>
        <w:tc>
          <w:tcPr>
            <w:tcW w:w="0" w:type="auto"/>
            <w:tcBorders>
              <w:top w:val="single" w:sz="4" w:space="0" w:color="auto"/>
            </w:tcBorders>
            <w:noWrap/>
            <w:hideMark/>
          </w:tcPr>
          <w:p w14:paraId="02238461" w14:textId="77777777" w:rsidR="007E308F" w:rsidRPr="008A67E5" w:rsidRDefault="007E308F">
            <w:pPr>
              <w:rPr>
                <w:sz w:val="24"/>
                <w:szCs w:val="24"/>
              </w:rPr>
            </w:pPr>
            <w:r w:rsidRPr="008A67E5">
              <w:rPr>
                <w:sz w:val="24"/>
                <w:szCs w:val="24"/>
              </w:rPr>
              <w:t>0.307***</w:t>
            </w:r>
          </w:p>
        </w:tc>
      </w:tr>
      <w:tr w:rsidR="007E308F" w:rsidRPr="005E78B9" w14:paraId="54D30BC3" w14:textId="77777777" w:rsidTr="008A67E5">
        <w:trPr>
          <w:trHeight w:val="300"/>
        </w:trPr>
        <w:tc>
          <w:tcPr>
            <w:tcW w:w="0" w:type="auto"/>
            <w:noWrap/>
            <w:hideMark/>
          </w:tcPr>
          <w:p w14:paraId="63AD12BC" w14:textId="77777777" w:rsidR="007E308F" w:rsidRPr="008A67E5" w:rsidRDefault="007E308F">
            <w:pPr>
              <w:rPr>
                <w:sz w:val="24"/>
                <w:szCs w:val="24"/>
              </w:rPr>
            </w:pPr>
          </w:p>
        </w:tc>
        <w:tc>
          <w:tcPr>
            <w:tcW w:w="0" w:type="auto"/>
            <w:noWrap/>
            <w:hideMark/>
          </w:tcPr>
          <w:p w14:paraId="01B4AF63" w14:textId="77777777" w:rsidR="007E308F" w:rsidRPr="008A67E5" w:rsidRDefault="007E308F">
            <w:pPr>
              <w:rPr>
                <w:sz w:val="24"/>
                <w:szCs w:val="24"/>
              </w:rPr>
            </w:pPr>
            <w:r w:rsidRPr="008A67E5">
              <w:rPr>
                <w:sz w:val="24"/>
                <w:szCs w:val="24"/>
              </w:rPr>
              <w:t>(0.000)</w:t>
            </w:r>
          </w:p>
        </w:tc>
        <w:tc>
          <w:tcPr>
            <w:tcW w:w="0" w:type="auto"/>
            <w:noWrap/>
            <w:hideMark/>
          </w:tcPr>
          <w:p w14:paraId="0BB90A76" w14:textId="77777777" w:rsidR="007E308F" w:rsidRPr="008A67E5" w:rsidRDefault="007E308F">
            <w:pPr>
              <w:rPr>
                <w:sz w:val="24"/>
                <w:szCs w:val="24"/>
              </w:rPr>
            </w:pPr>
            <w:r w:rsidRPr="008A67E5">
              <w:rPr>
                <w:sz w:val="24"/>
                <w:szCs w:val="24"/>
              </w:rPr>
              <w:t>(0.000)</w:t>
            </w:r>
          </w:p>
        </w:tc>
      </w:tr>
      <w:tr w:rsidR="007E308F" w:rsidRPr="005E78B9" w14:paraId="494DC896" w14:textId="77777777" w:rsidTr="008A67E5">
        <w:trPr>
          <w:trHeight w:val="300"/>
        </w:trPr>
        <w:tc>
          <w:tcPr>
            <w:tcW w:w="0" w:type="auto"/>
            <w:noWrap/>
            <w:hideMark/>
          </w:tcPr>
          <w:p w14:paraId="3F771FD5" w14:textId="77777777" w:rsidR="007E308F" w:rsidRPr="008A67E5" w:rsidRDefault="007E308F">
            <w:pPr>
              <w:rPr>
                <w:sz w:val="24"/>
                <w:szCs w:val="24"/>
              </w:rPr>
            </w:pPr>
            <w:r w:rsidRPr="008A67E5">
              <w:rPr>
                <w:sz w:val="24"/>
                <w:szCs w:val="24"/>
              </w:rPr>
              <w:t>Log(Distance)</w:t>
            </w:r>
          </w:p>
        </w:tc>
        <w:tc>
          <w:tcPr>
            <w:tcW w:w="0" w:type="auto"/>
            <w:noWrap/>
            <w:hideMark/>
          </w:tcPr>
          <w:p w14:paraId="580CFD6D" w14:textId="77777777" w:rsidR="007E308F" w:rsidRPr="008A67E5" w:rsidRDefault="007E308F">
            <w:pPr>
              <w:rPr>
                <w:sz w:val="24"/>
                <w:szCs w:val="24"/>
              </w:rPr>
            </w:pPr>
            <w:r w:rsidRPr="008A67E5">
              <w:rPr>
                <w:sz w:val="24"/>
                <w:szCs w:val="24"/>
              </w:rPr>
              <w:t>0.148***</w:t>
            </w:r>
          </w:p>
        </w:tc>
        <w:tc>
          <w:tcPr>
            <w:tcW w:w="0" w:type="auto"/>
            <w:noWrap/>
            <w:hideMark/>
          </w:tcPr>
          <w:p w14:paraId="056330A4" w14:textId="77777777" w:rsidR="007E308F" w:rsidRPr="008A67E5" w:rsidRDefault="007E308F">
            <w:pPr>
              <w:rPr>
                <w:sz w:val="24"/>
                <w:szCs w:val="24"/>
              </w:rPr>
            </w:pPr>
            <w:r w:rsidRPr="008A67E5">
              <w:rPr>
                <w:sz w:val="24"/>
                <w:szCs w:val="24"/>
              </w:rPr>
              <w:t>0.156***</w:t>
            </w:r>
          </w:p>
        </w:tc>
      </w:tr>
      <w:tr w:rsidR="007E308F" w:rsidRPr="005E78B9" w14:paraId="05323F7A" w14:textId="77777777" w:rsidTr="008A67E5">
        <w:trPr>
          <w:trHeight w:val="300"/>
        </w:trPr>
        <w:tc>
          <w:tcPr>
            <w:tcW w:w="0" w:type="auto"/>
            <w:noWrap/>
            <w:hideMark/>
          </w:tcPr>
          <w:p w14:paraId="4815077F" w14:textId="77777777" w:rsidR="007E308F" w:rsidRPr="008A67E5" w:rsidRDefault="007E308F">
            <w:pPr>
              <w:rPr>
                <w:sz w:val="24"/>
                <w:szCs w:val="24"/>
              </w:rPr>
            </w:pPr>
          </w:p>
        </w:tc>
        <w:tc>
          <w:tcPr>
            <w:tcW w:w="0" w:type="auto"/>
            <w:noWrap/>
            <w:hideMark/>
          </w:tcPr>
          <w:p w14:paraId="69CD6747" w14:textId="77777777" w:rsidR="007E308F" w:rsidRPr="008A67E5" w:rsidRDefault="007E308F">
            <w:pPr>
              <w:rPr>
                <w:sz w:val="24"/>
                <w:szCs w:val="24"/>
              </w:rPr>
            </w:pPr>
            <w:r w:rsidRPr="008A67E5">
              <w:rPr>
                <w:sz w:val="24"/>
                <w:szCs w:val="24"/>
              </w:rPr>
              <w:t>(0.000)</w:t>
            </w:r>
          </w:p>
        </w:tc>
        <w:tc>
          <w:tcPr>
            <w:tcW w:w="0" w:type="auto"/>
            <w:noWrap/>
            <w:hideMark/>
          </w:tcPr>
          <w:p w14:paraId="08000E53" w14:textId="77777777" w:rsidR="007E308F" w:rsidRPr="008A67E5" w:rsidRDefault="007E308F">
            <w:pPr>
              <w:rPr>
                <w:sz w:val="24"/>
                <w:szCs w:val="24"/>
              </w:rPr>
            </w:pPr>
            <w:r w:rsidRPr="008A67E5">
              <w:rPr>
                <w:sz w:val="24"/>
                <w:szCs w:val="24"/>
              </w:rPr>
              <w:t>(0.000)</w:t>
            </w:r>
          </w:p>
        </w:tc>
      </w:tr>
      <w:tr w:rsidR="007E308F" w:rsidRPr="005E78B9" w14:paraId="3529A0CB" w14:textId="77777777" w:rsidTr="008A67E5">
        <w:trPr>
          <w:trHeight w:val="300"/>
        </w:trPr>
        <w:tc>
          <w:tcPr>
            <w:tcW w:w="0" w:type="auto"/>
            <w:noWrap/>
            <w:hideMark/>
          </w:tcPr>
          <w:p w14:paraId="73B9DD12" w14:textId="77777777" w:rsidR="007E308F" w:rsidRPr="008A67E5" w:rsidRDefault="007E308F">
            <w:pPr>
              <w:rPr>
                <w:sz w:val="24"/>
                <w:szCs w:val="24"/>
              </w:rPr>
            </w:pPr>
            <w:r w:rsidRPr="008A67E5">
              <w:rPr>
                <w:sz w:val="24"/>
                <w:szCs w:val="24"/>
              </w:rPr>
              <w:t>Common Language</w:t>
            </w:r>
          </w:p>
        </w:tc>
        <w:tc>
          <w:tcPr>
            <w:tcW w:w="0" w:type="auto"/>
            <w:noWrap/>
            <w:hideMark/>
          </w:tcPr>
          <w:p w14:paraId="3C62ECC2" w14:textId="77777777" w:rsidR="007E308F" w:rsidRPr="008A67E5" w:rsidRDefault="007E308F">
            <w:pPr>
              <w:rPr>
                <w:sz w:val="24"/>
                <w:szCs w:val="24"/>
              </w:rPr>
            </w:pPr>
            <w:r w:rsidRPr="008A67E5">
              <w:rPr>
                <w:sz w:val="24"/>
                <w:szCs w:val="24"/>
              </w:rPr>
              <w:t>-0.161***</w:t>
            </w:r>
          </w:p>
        </w:tc>
        <w:tc>
          <w:tcPr>
            <w:tcW w:w="0" w:type="auto"/>
            <w:noWrap/>
            <w:hideMark/>
          </w:tcPr>
          <w:p w14:paraId="3A2193A3" w14:textId="77777777" w:rsidR="007E308F" w:rsidRPr="008A67E5" w:rsidRDefault="007E308F">
            <w:pPr>
              <w:rPr>
                <w:sz w:val="24"/>
                <w:szCs w:val="24"/>
              </w:rPr>
            </w:pPr>
            <w:r w:rsidRPr="008A67E5">
              <w:rPr>
                <w:sz w:val="24"/>
                <w:szCs w:val="24"/>
              </w:rPr>
              <w:t>-0.179***</w:t>
            </w:r>
          </w:p>
        </w:tc>
      </w:tr>
      <w:tr w:rsidR="007E308F" w:rsidRPr="005E78B9" w14:paraId="4FEE21D1" w14:textId="77777777" w:rsidTr="008A67E5">
        <w:trPr>
          <w:trHeight w:val="300"/>
        </w:trPr>
        <w:tc>
          <w:tcPr>
            <w:tcW w:w="0" w:type="auto"/>
            <w:noWrap/>
            <w:hideMark/>
          </w:tcPr>
          <w:p w14:paraId="190A57A7" w14:textId="77777777" w:rsidR="007E308F" w:rsidRPr="008A67E5" w:rsidRDefault="007E308F">
            <w:pPr>
              <w:rPr>
                <w:sz w:val="24"/>
                <w:szCs w:val="24"/>
              </w:rPr>
            </w:pPr>
          </w:p>
        </w:tc>
        <w:tc>
          <w:tcPr>
            <w:tcW w:w="0" w:type="auto"/>
            <w:noWrap/>
            <w:hideMark/>
          </w:tcPr>
          <w:p w14:paraId="3CD15538" w14:textId="77777777" w:rsidR="007E308F" w:rsidRPr="008A67E5" w:rsidRDefault="007E308F">
            <w:pPr>
              <w:rPr>
                <w:sz w:val="24"/>
                <w:szCs w:val="24"/>
              </w:rPr>
            </w:pPr>
            <w:r w:rsidRPr="008A67E5">
              <w:rPr>
                <w:sz w:val="24"/>
                <w:szCs w:val="24"/>
              </w:rPr>
              <w:t>(0.001)</w:t>
            </w:r>
          </w:p>
        </w:tc>
        <w:tc>
          <w:tcPr>
            <w:tcW w:w="0" w:type="auto"/>
            <w:noWrap/>
            <w:hideMark/>
          </w:tcPr>
          <w:p w14:paraId="45BF1DFC" w14:textId="77777777" w:rsidR="007E308F" w:rsidRPr="008A67E5" w:rsidRDefault="007E308F">
            <w:pPr>
              <w:rPr>
                <w:sz w:val="24"/>
                <w:szCs w:val="24"/>
              </w:rPr>
            </w:pPr>
            <w:r w:rsidRPr="008A67E5">
              <w:rPr>
                <w:sz w:val="24"/>
                <w:szCs w:val="24"/>
              </w:rPr>
              <w:t>(0.001)</w:t>
            </w:r>
          </w:p>
        </w:tc>
      </w:tr>
      <w:tr w:rsidR="007E308F" w:rsidRPr="005E78B9" w14:paraId="64C02903" w14:textId="77777777" w:rsidTr="008A67E5">
        <w:trPr>
          <w:trHeight w:val="300"/>
        </w:trPr>
        <w:tc>
          <w:tcPr>
            <w:tcW w:w="0" w:type="auto"/>
            <w:noWrap/>
            <w:hideMark/>
          </w:tcPr>
          <w:p w14:paraId="7D941D86" w14:textId="77777777" w:rsidR="007E308F" w:rsidRPr="008A67E5" w:rsidRDefault="007E308F">
            <w:pPr>
              <w:rPr>
                <w:sz w:val="24"/>
                <w:szCs w:val="24"/>
              </w:rPr>
            </w:pPr>
            <w:r w:rsidRPr="008A67E5">
              <w:rPr>
                <w:sz w:val="24"/>
                <w:szCs w:val="24"/>
              </w:rPr>
              <w:t>Colony</w:t>
            </w:r>
          </w:p>
        </w:tc>
        <w:tc>
          <w:tcPr>
            <w:tcW w:w="0" w:type="auto"/>
            <w:noWrap/>
            <w:hideMark/>
          </w:tcPr>
          <w:p w14:paraId="363D8C46" w14:textId="77777777" w:rsidR="007E308F" w:rsidRPr="008A67E5" w:rsidRDefault="007E308F">
            <w:pPr>
              <w:rPr>
                <w:sz w:val="24"/>
                <w:szCs w:val="24"/>
              </w:rPr>
            </w:pPr>
            <w:r w:rsidRPr="008A67E5">
              <w:rPr>
                <w:sz w:val="24"/>
                <w:szCs w:val="24"/>
              </w:rPr>
              <w:t>-0.178***</w:t>
            </w:r>
          </w:p>
        </w:tc>
        <w:tc>
          <w:tcPr>
            <w:tcW w:w="0" w:type="auto"/>
            <w:noWrap/>
            <w:hideMark/>
          </w:tcPr>
          <w:p w14:paraId="723B372A" w14:textId="77777777" w:rsidR="007E308F" w:rsidRPr="008A67E5" w:rsidRDefault="007E308F">
            <w:pPr>
              <w:rPr>
                <w:sz w:val="24"/>
                <w:szCs w:val="24"/>
              </w:rPr>
            </w:pPr>
            <w:r w:rsidRPr="008A67E5">
              <w:rPr>
                <w:sz w:val="24"/>
                <w:szCs w:val="24"/>
              </w:rPr>
              <w:t>-0.185***</w:t>
            </w:r>
          </w:p>
        </w:tc>
      </w:tr>
      <w:tr w:rsidR="007E308F" w:rsidRPr="005E78B9" w14:paraId="31154F80" w14:textId="77777777" w:rsidTr="008A67E5">
        <w:trPr>
          <w:trHeight w:val="300"/>
        </w:trPr>
        <w:tc>
          <w:tcPr>
            <w:tcW w:w="0" w:type="auto"/>
            <w:noWrap/>
            <w:hideMark/>
          </w:tcPr>
          <w:p w14:paraId="3AF24184" w14:textId="77777777" w:rsidR="007E308F" w:rsidRPr="008A67E5" w:rsidRDefault="007E308F">
            <w:pPr>
              <w:rPr>
                <w:sz w:val="24"/>
                <w:szCs w:val="24"/>
              </w:rPr>
            </w:pPr>
          </w:p>
        </w:tc>
        <w:tc>
          <w:tcPr>
            <w:tcW w:w="0" w:type="auto"/>
            <w:noWrap/>
            <w:hideMark/>
          </w:tcPr>
          <w:p w14:paraId="7AC82E3B" w14:textId="77777777" w:rsidR="007E308F" w:rsidRPr="008A67E5" w:rsidRDefault="007E308F">
            <w:pPr>
              <w:rPr>
                <w:sz w:val="24"/>
                <w:szCs w:val="24"/>
              </w:rPr>
            </w:pPr>
            <w:r w:rsidRPr="008A67E5">
              <w:rPr>
                <w:sz w:val="24"/>
                <w:szCs w:val="24"/>
              </w:rPr>
              <w:t>(0.000)</w:t>
            </w:r>
          </w:p>
        </w:tc>
        <w:tc>
          <w:tcPr>
            <w:tcW w:w="0" w:type="auto"/>
            <w:noWrap/>
            <w:hideMark/>
          </w:tcPr>
          <w:p w14:paraId="6CA27FFF" w14:textId="77777777" w:rsidR="007E308F" w:rsidRPr="008A67E5" w:rsidRDefault="007E308F">
            <w:pPr>
              <w:rPr>
                <w:sz w:val="24"/>
                <w:szCs w:val="24"/>
              </w:rPr>
            </w:pPr>
            <w:r w:rsidRPr="008A67E5">
              <w:rPr>
                <w:sz w:val="24"/>
                <w:szCs w:val="24"/>
              </w:rPr>
              <w:t>(0.000)</w:t>
            </w:r>
          </w:p>
        </w:tc>
      </w:tr>
      <w:tr w:rsidR="007E308F" w:rsidRPr="005E78B9" w14:paraId="08E05F96" w14:textId="77777777" w:rsidTr="008A67E5">
        <w:trPr>
          <w:trHeight w:val="300"/>
        </w:trPr>
        <w:tc>
          <w:tcPr>
            <w:tcW w:w="0" w:type="auto"/>
            <w:noWrap/>
            <w:hideMark/>
          </w:tcPr>
          <w:p w14:paraId="1997B0B4" w14:textId="77777777" w:rsidR="007E308F" w:rsidRPr="008A67E5" w:rsidRDefault="007E308F">
            <w:pPr>
              <w:rPr>
                <w:sz w:val="24"/>
                <w:szCs w:val="24"/>
              </w:rPr>
            </w:pPr>
            <w:r w:rsidRPr="008A67E5">
              <w:rPr>
                <w:sz w:val="24"/>
                <w:szCs w:val="24"/>
              </w:rPr>
              <w:t>Same Country</w:t>
            </w:r>
          </w:p>
        </w:tc>
        <w:tc>
          <w:tcPr>
            <w:tcW w:w="0" w:type="auto"/>
            <w:noWrap/>
            <w:hideMark/>
          </w:tcPr>
          <w:p w14:paraId="6B629CA4" w14:textId="77777777" w:rsidR="007E308F" w:rsidRPr="008A67E5" w:rsidRDefault="007E308F">
            <w:pPr>
              <w:rPr>
                <w:sz w:val="24"/>
                <w:szCs w:val="24"/>
              </w:rPr>
            </w:pPr>
            <w:r w:rsidRPr="008A67E5">
              <w:rPr>
                <w:sz w:val="24"/>
                <w:szCs w:val="24"/>
              </w:rPr>
              <w:t>-0.082</w:t>
            </w:r>
          </w:p>
        </w:tc>
        <w:tc>
          <w:tcPr>
            <w:tcW w:w="0" w:type="auto"/>
            <w:noWrap/>
            <w:hideMark/>
          </w:tcPr>
          <w:p w14:paraId="412022B5" w14:textId="77777777" w:rsidR="007E308F" w:rsidRPr="008A67E5" w:rsidRDefault="007E308F">
            <w:pPr>
              <w:rPr>
                <w:sz w:val="24"/>
                <w:szCs w:val="24"/>
              </w:rPr>
            </w:pPr>
            <w:r w:rsidRPr="008A67E5">
              <w:rPr>
                <w:sz w:val="24"/>
                <w:szCs w:val="24"/>
              </w:rPr>
              <w:t>-0.122</w:t>
            </w:r>
          </w:p>
        </w:tc>
      </w:tr>
      <w:tr w:rsidR="007E308F" w:rsidRPr="005E78B9" w14:paraId="44A150D5" w14:textId="77777777" w:rsidTr="007E308F">
        <w:trPr>
          <w:trHeight w:val="300"/>
        </w:trPr>
        <w:tc>
          <w:tcPr>
            <w:tcW w:w="0" w:type="auto"/>
            <w:tcBorders>
              <w:bottom w:val="single" w:sz="4" w:space="0" w:color="auto"/>
            </w:tcBorders>
            <w:noWrap/>
            <w:hideMark/>
          </w:tcPr>
          <w:p w14:paraId="22BFAB33" w14:textId="77777777" w:rsidR="007E308F" w:rsidRPr="008A67E5" w:rsidRDefault="007E308F">
            <w:pPr>
              <w:rPr>
                <w:sz w:val="24"/>
                <w:szCs w:val="24"/>
              </w:rPr>
            </w:pPr>
          </w:p>
        </w:tc>
        <w:tc>
          <w:tcPr>
            <w:tcW w:w="0" w:type="auto"/>
            <w:tcBorders>
              <w:bottom w:val="single" w:sz="4" w:space="0" w:color="auto"/>
            </w:tcBorders>
            <w:noWrap/>
            <w:hideMark/>
          </w:tcPr>
          <w:p w14:paraId="2E1795BA" w14:textId="77777777" w:rsidR="007E308F" w:rsidRPr="008A67E5" w:rsidRDefault="007E308F">
            <w:pPr>
              <w:rPr>
                <w:sz w:val="24"/>
                <w:szCs w:val="24"/>
              </w:rPr>
            </w:pPr>
            <w:r w:rsidRPr="008A67E5">
              <w:rPr>
                <w:sz w:val="24"/>
                <w:szCs w:val="24"/>
              </w:rPr>
              <w:t>(0.256)</w:t>
            </w:r>
          </w:p>
        </w:tc>
        <w:tc>
          <w:tcPr>
            <w:tcW w:w="0" w:type="auto"/>
            <w:tcBorders>
              <w:bottom w:val="single" w:sz="4" w:space="0" w:color="auto"/>
            </w:tcBorders>
            <w:noWrap/>
            <w:hideMark/>
          </w:tcPr>
          <w:p w14:paraId="59D7BE03" w14:textId="77777777" w:rsidR="007E308F" w:rsidRPr="008A67E5" w:rsidRDefault="007E308F">
            <w:pPr>
              <w:rPr>
                <w:sz w:val="24"/>
                <w:szCs w:val="24"/>
              </w:rPr>
            </w:pPr>
            <w:r w:rsidRPr="008A67E5">
              <w:rPr>
                <w:sz w:val="24"/>
                <w:szCs w:val="24"/>
              </w:rPr>
              <w:t>(0.129)</w:t>
            </w:r>
          </w:p>
        </w:tc>
      </w:tr>
      <w:tr w:rsidR="007E308F" w:rsidRPr="005E78B9" w14:paraId="7B92168A" w14:textId="77777777" w:rsidTr="007E308F">
        <w:trPr>
          <w:trHeight w:val="300"/>
        </w:trPr>
        <w:tc>
          <w:tcPr>
            <w:tcW w:w="0" w:type="auto"/>
            <w:tcBorders>
              <w:top w:val="single" w:sz="4" w:space="0" w:color="auto"/>
            </w:tcBorders>
            <w:noWrap/>
            <w:hideMark/>
          </w:tcPr>
          <w:p w14:paraId="7BA6C9C0" w14:textId="77777777" w:rsidR="007E308F" w:rsidRPr="008A67E5" w:rsidRDefault="007E308F">
            <w:pPr>
              <w:rPr>
                <w:sz w:val="24"/>
                <w:szCs w:val="24"/>
              </w:rPr>
            </w:pPr>
            <w:r w:rsidRPr="008A67E5">
              <w:rPr>
                <w:sz w:val="24"/>
                <w:szCs w:val="24"/>
              </w:rPr>
              <w:t>N</w:t>
            </w:r>
          </w:p>
        </w:tc>
        <w:tc>
          <w:tcPr>
            <w:tcW w:w="0" w:type="auto"/>
            <w:tcBorders>
              <w:top w:val="single" w:sz="4" w:space="0" w:color="auto"/>
            </w:tcBorders>
            <w:noWrap/>
            <w:hideMark/>
          </w:tcPr>
          <w:p w14:paraId="4896CACD" w14:textId="77777777" w:rsidR="007E308F" w:rsidRPr="008A67E5" w:rsidRDefault="007E308F">
            <w:pPr>
              <w:rPr>
                <w:sz w:val="24"/>
                <w:szCs w:val="24"/>
              </w:rPr>
            </w:pPr>
            <w:r w:rsidRPr="008A67E5">
              <w:rPr>
                <w:sz w:val="24"/>
                <w:szCs w:val="24"/>
              </w:rPr>
              <w:t>5510</w:t>
            </w:r>
          </w:p>
        </w:tc>
        <w:tc>
          <w:tcPr>
            <w:tcW w:w="0" w:type="auto"/>
            <w:tcBorders>
              <w:top w:val="single" w:sz="4" w:space="0" w:color="auto"/>
            </w:tcBorders>
            <w:noWrap/>
            <w:hideMark/>
          </w:tcPr>
          <w:p w14:paraId="5BEF04A5" w14:textId="77777777" w:rsidR="007E308F" w:rsidRPr="008A67E5" w:rsidRDefault="007E308F">
            <w:pPr>
              <w:rPr>
                <w:sz w:val="24"/>
                <w:szCs w:val="24"/>
              </w:rPr>
            </w:pPr>
            <w:r w:rsidRPr="008A67E5">
              <w:rPr>
                <w:sz w:val="24"/>
                <w:szCs w:val="24"/>
              </w:rPr>
              <w:t>5626</w:t>
            </w:r>
          </w:p>
        </w:tc>
      </w:tr>
      <w:tr w:rsidR="007E308F" w:rsidRPr="005E78B9" w14:paraId="68BA468F" w14:textId="77777777" w:rsidTr="007E308F">
        <w:trPr>
          <w:trHeight w:val="300"/>
        </w:trPr>
        <w:tc>
          <w:tcPr>
            <w:tcW w:w="0" w:type="auto"/>
            <w:tcBorders>
              <w:bottom w:val="single" w:sz="4" w:space="0" w:color="auto"/>
            </w:tcBorders>
            <w:noWrap/>
            <w:hideMark/>
          </w:tcPr>
          <w:p w14:paraId="2E779BDA" w14:textId="77777777" w:rsidR="007E308F" w:rsidRPr="008A67E5" w:rsidRDefault="007E308F">
            <w:pPr>
              <w:rPr>
                <w:sz w:val="24"/>
                <w:szCs w:val="24"/>
              </w:rPr>
            </w:pPr>
            <w:r w:rsidRPr="008A67E5">
              <w:rPr>
                <w:sz w:val="24"/>
                <w:szCs w:val="24"/>
              </w:rPr>
              <w:t>R2</w:t>
            </w:r>
          </w:p>
        </w:tc>
        <w:tc>
          <w:tcPr>
            <w:tcW w:w="0" w:type="auto"/>
            <w:tcBorders>
              <w:bottom w:val="single" w:sz="4" w:space="0" w:color="auto"/>
            </w:tcBorders>
            <w:noWrap/>
            <w:hideMark/>
          </w:tcPr>
          <w:p w14:paraId="3DA2CD71" w14:textId="77777777" w:rsidR="007E308F" w:rsidRPr="008A67E5" w:rsidRDefault="007E308F">
            <w:pPr>
              <w:rPr>
                <w:sz w:val="24"/>
                <w:szCs w:val="24"/>
              </w:rPr>
            </w:pPr>
            <w:r w:rsidRPr="008A67E5">
              <w:rPr>
                <w:sz w:val="24"/>
                <w:szCs w:val="24"/>
              </w:rPr>
              <w:t>0.681</w:t>
            </w:r>
          </w:p>
        </w:tc>
        <w:tc>
          <w:tcPr>
            <w:tcW w:w="0" w:type="auto"/>
            <w:tcBorders>
              <w:bottom w:val="single" w:sz="4" w:space="0" w:color="auto"/>
            </w:tcBorders>
            <w:noWrap/>
            <w:hideMark/>
          </w:tcPr>
          <w:p w14:paraId="29B03A53" w14:textId="77777777" w:rsidR="007E308F" w:rsidRPr="008A67E5" w:rsidRDefault="007E308F">
            <w:pPr>
              <w:rPr>
                <w:sz w:val="24"/>
                <w:szCs w:val="24"/>
              </w:rPr>
            </w:pPr>
            <w:r w:rsidRPr="008A67E5">
              <w:rPr>
                <w:sz w:val="24"/>
                <w:szCs w:val="24"/>
              </w:rPr>
              <w:t>0.625</w:t>
            </w:r>
          </w:p>
        </w:tc>
      </w:tr>
    </w:tbl>
    <w:p w14:paraId="4D31D5EF" w14:textId="77777777" w:rsidR="007E308F" w:rsidRPr="008A67E5" w:rsidRDefault="003C7036" w:rsidP="008A67E5">
      <w:pPr>
        <w:rPr>
          <w:sz w:val="24"/>
          <w:szCs w:val="24"/>
        </w:rPr>
      </w:pPr>
      <w:r w:rsidRPr="008A67E5">
        <w:rPr>
          <w:i/>
          <w:sz w:val="24"/>
          <w:szCs w:val="24"/>
        </w:rPr>
        <w:t>Source: Authors’ calculations.</w:t>
      </w:r>
    </w:p>
    <w:p w14:paraId="0BE90094" w14:textId="440D29B3" w:rsidR="003C7036" w:rsidRPr="008A67E5" w:rsidRDefault="00425F37" w:rsidP="008A67E5">
      <w:pPr>
        <w:jc w:val="both"/>
        <w:rPr>
          <w:sz w:val="24"/>
          <w:szCs w:val="24"/>
        </w:rPr>
      </w:pPr>
      <w:r w:rsidRPr="008A67E5">
        <w:rPr>
          <w:sz w:val="24"/>
          <w:szCs w:val="24"/>
        </w:rPr>
        <w:t>The estimation results presented in Table 1 give a general idea of the links between trade costs and trade in intermediate and final services. However, it is likely that different sectors respond differently, which means that the pooled estimation approach—although useful for identifying average effects—may be insufficiently flexible to bring out some types of cross-sectoral heterogeneity. To deal with this possibility, equations 15 and 16 are re-estimated separately sector by sector. The exporter-sector and importer-sector fixed effects are replaced with exporter and importer fixed effects. Other than that, the estimation models are identical, but are applied to one sector at a time.</w:t>
      </w:r>
    </w:p>
    <w:p w14:paraId="1B08E655" w14:textId="02AAFA08" w:rsidR="00425F37" w:rsidRPr="008A67E5" w:rsidRDefault="00425F37" w:rsidP="008A67E5">
      <w:pPr>
        <w:jc w:val="both"/>
        <w:rPr>
          <w:sz w:val="24"/>
          <w:szCs w:val="24"/>
        </w:rPr>
      </w:pPr>
      <w:r w:rsidRPr="008A67E5">
        <w:rPr>
          <w:sz w:val="24"/>
          <w:szCs w:val="24"/>
        </w:rPr>
        <w:t xml:space="preserve">The trade costs data cover six sectors: construction, distribution, transport, post and telecommunications, finance, and business services. </w:t>
      </w:r>
      <w:r w:rsidR="00A40917" w:rsidRPr="008A67E5">
        <w:rPr>
          <w:sz w:val="24"/>
          <w:szCs w:val="24"/>
        </w:rPr>
        <w:t>Of the six, transport needs to be dropped from the sectoral estimates due to insufficient variation in the STRI across countries. Results are therefore presented for the remaining five countries. Table 2 covers construction, distribution, and post and telecommunications, and Table 3 covers finance and business services.</w:t>
      </w:r>
    </w:p>
    <w:p w14:paraId="2A52CB82" w14:textId="0762000C" w:rsidR="00A40917" w:rsidRPr="008A67E5" w:rsidRDefault="00A40917" w:rsidP="008A67E5">
      <w:pPr>
        <w:jc w:val="both"/>
        <w:rPr>
          <w:sz w:val="24"/>
          <w:szCs w:val="24"/>
        </w:rPr>
      </w:pPr>
      <w:r w:rsidRPr="008A67E5">
        <w:rPr>
          <w:sz w:val="24"/>
          <w:szCs w:val="24"/>
        </w:rPr>
        <w:t>Results for the first three sectors in Table 2 are mixed. With the exception of</w:t>
      </w:r>
      <w:r w:rsidR="003724B3" w:rsidRPr="008A67E5">
        <w:rPr>
          <w:sz w:val="24"/>
          <w:szCs w:val="24"/>
        </w:rPr>
        <w:t xml:space="preserve"> the same country dummy, the gravity control variables have appropriately signed and statistically significant coefficients of sensible magnitude. By contrast, only three of the six models have STRI coefficients that are positive and statistically significant; the remainder are not statistically significant at the 10% level or better. Results are strongest for post and telecommunications, which is a service sector that is widely traded internationally. Interestingly, the coefficient for intermediate trade is larger than that for final trade, which provides some evidence that services trade restrictions matter more for intermediate trade than for final trade. However, the relative imprecision in the estimates means that the </w:t>
      </w:r>
      <w:r w:rsidR="003724B3" w:rsidRPr="008A67E5">
        <w:rPr>
          <w:sz w:val="24"/>
          <w:szCs w:val="24"/>
        </w:rPr>
        <w:lastRenderedPageBreak/>
        <w:t>difference between the two coefficients is not statistically significant, and should therefore be interpreted with caution.</w:t>
      </w:r>
    </w:p>
    <w:p w14:paraId="477E39B2" w14:textId="55989F20" w:rsidR="003724B3" w:rsidRPr="008A67E5" w:rsidRDefault="003724B3" w:rsidP="008A67E5">
      <w:pPr>
        <w:jc w:val="both"/>
        <w:rPr>
          <w:sz w:val="24"/>
          <w:szCs w:val="24"/>
        </w:rPr>
      </w:pPr>
      <w:r w:rsidRPr="008A67E5">
        <w:rPr>
          <w:sz w:val="24"/>
          <w:szCs w:val="24"/>
        </w:rPr>
        <w:t xml:space="preserve">For distribution, by contrast, it is only final trade that has the expected positive and statistically significant coefficient. </w:t>
      </w:r>
      <w:r w:rsidR="00D35987" w:rsidRPr="008A67E5">
        <w:rPr>
          <w:sz w:val="24"/>
          <w:szCs w:val="24"/>
        </w:rPr>
        <w:t xml:space="preserve">One factor that is potentially important for this sector is the nature of services trade barriers </w:t>
      </w:r>
      <w:r w:rsidR="00D35987" w:rsidRPr="00366A24">
        <w:rPr>
          <w:i/>
          <w:sz w:val="24"/>
          <w:szCs w:val="24"/>
        </w:rPr>
        <w:t>de facto</w:t>
      </w:r>
      <w:r w:rsidR="00D35987" w:rsidRPr="008A67E5">
        <w:rPr>
          <w:sz w:val="24"/>
          <w:szCs w:val="24"/>
        </w:rPr>
        <w:t>, and those that are captured by the STRI. The STRI focuses primarily on retail services, although both retail and wholesale are in theory covered by the data. An important difference between the two is that barriers to wholesale trade tend to be more related to competition policy issues that are not fully taken into account in the STRI. The STRI focuses on issues like retail shop opening hours, which are true policy restrictions to services trade. Given this focus, and the fact that final goods trade has a heavier retail to wholesale ratio in terms of sectoral activity than does intermediate goods trade, the results for distribution might be explained by a better “fit” between the policy data and trade costs for final as opposed to intermediate trade.</w:t>
      </w:r>
    </w:p>
    <w:p w14:paraId="7D4DCAE6" w14:textId="22455D1D" w:rsidR="00D35987" w:rsidRPr="008A67E5" w:rsidRDefault="00D35987" w:rsidP="008A67E5">
      <w:pPr>
        <w:jc w:val="both"/>
        <w:rPr>
          <w:sz w:val="24"/>
          <w:szCs w:val="24"/>
        </w:rPr>
      </w:pPr>
      <w:r w:rsidRPr="008A67E5">
        <w:rPr>
          <w:sz w:val="24"/>
          <w:szCs w:val="24"/>
        </w:rPr>
        <w:t>Data is also an important issue for construction services. It is well known that construction services are poorly tracked in international trade data. Relatively little true trade in construction services passes through the balance of payments</w:t>
      </w:r>
      <w:r w:rsidR="005269AB">
        <w:rPr>
          <w:rStyle w:val="FootnoteReference"/>
          <w:sz w:val="24"/>
          <w:szCs w:val="24"/>
        </w:rPr>
        <w:footnoteReference w:id="5"/>
      </w:r>
      <w:r w:rsidRPr="008A67E5">
        <w:rPr>
          <w:sz w:val="24"/>
          <w:szCs w:val="24"/>
        </w:rPr>
        <w:t xml:space="preserve">, and what is recorded sometimes mixes in other types of trade, such as the supply of construction materials (goods trade) or professional services (engineering and architecture). Trade costs as calculated in this paper rely on </w:t>
      </w:r>
      <w:r w:rsidR="00A673D9" w:rsidRPr="008A67E5">
        <w:rPr>
          <w:sz w:val="24"/>
          <w:szCs w:val="24"/>
        </w:rPr>
        <w:t>trade data that have been reconciled with national accounts, but there is evidence of significant under-reporting of this sector in the trade component of the national accounts, even in countries that are known from other sources to be significant exporters (e.g., France, Japan, and the USA). In light of these considerations, it seems likely that data reliability issues plague this sector, and it is perhaps not surprising that results are not strong compared with other sectors.</w:t>
      </w:r>
    </w:p>
    <w:p w14:paraId="5E9465E0" w14:textId="77777777" w:rsidR="00000CED" w:rsidRDefault="00000CED">
      <w:pPr>
        <w:rPr>
          <w:i/>
          <w:iCs/>
          <w:color w:val="1F497D" w:themeColor="text2"/>
          <w:sz w:val="24"/>
          <w:szCs w:val="24"/>
        </w:rPr>
      </w:pPr>
      <w:r>
        <w:rPr>
          <w:sz w:val="24"/>
          <w:szCs w:val="24"/>
        </w:rPr>
        <w:br w:type="page"/>
      </w:r>
    </w:p>
    <w:p w14:paraId="62B83CBC" w14:textId="491FA89D" w:rsidR="00A40917" w:rsidRPr="008A67E5" w:rsidRDefault="00A40917" w:rsidP="008A67E5">
      <w:pPr>
        <w:pStyle w:val="Caption"/>
        <w:keepNext/>
        <w:rPr>
          <w:sz w:val="24"/>
          <w:szCs w:val="24"/>
        </w:rPr>
      </w:pPr>
      <w:r w:rsidRPr="008A67E5">
        <w:rPr>
          <w:sz w:val="24"/>
          <w:szCs w:val="24"/>
        </w:rPr>
        <w:lastRenderedPageBreak/>
        <w:t xml:space="preserve">Table </w:t>
      </w:r>
      <w:r w:rsidRPr="008A67E5">
        <w:rPr>
          <w:sz w:val="24"/>
          <w:szCs w:val="24"/>
        </w:rPr>
        <w:fldChar w:fldCharType="begin"/>
      </w:r>
      <w:r w:rsidRPr="008A67E5">
        <w:rPr>
          <w:sz w:val="24"/>
          <w:szCs w:val="24"/>
        </w:rPr>
        <w:instrText xml:space="preserve"> SEQ Table \* ARABIC </w:instrText>
      </w:r>
      <w:r w:rsidRPr="008A67E5">
        <w:rPr>
          <w:sz w:val="24"/>
          <w:szCs w:val="24"/>
        </w:rPr>
        <w:fldChar w:fldCharType="separate"/>
      </w:r>
      <w:r w:rsidR="006E58BD">
        <w:rPr>
          <w:noProof/>
          <w:sz w:val="24"/>
          <w:szCs w:val="24"/>
        </w:rPr>
        <w:t>2</w:t>
      </w:r>
      <w:r w:rsidRPr="008A67E5">
        <w:rPr>
          <w:sz w:val="24"/>
          <w:szCs w:val="24"/>
        </w:rPr>
        <w:fldChar w:fldCharType="end"/>
      </w:r>
      <w:r w:rsidRPr="008A67E5">
        <w:rPr>
          <w:sz w:val="24"/>
          <w:szCs w:val="24"/>
        </w:rPr>
        <w:t>: Regression results for the sectoral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937"/>
        <w:gridCol w:w="1584"/>
        <w:gridCol w:w="935"/>
        <w:gridCol w:w="1525"/>
        <w:gridCol w:w="993"/>
        <w:gridCol w:w="1565"/>
      </w:tblGrid>
      <w:tr w:rsidR="00A40917" w:rsidRPr="005E78B9" w14:paraId="2F975AB3" w14:textId="77777777" w:rsidTr="008A67E5">
        <w:trPr>
          <w:trHeight w:val="300"/>
        </w:trPr>
        <w:tc>
          <w:tcPr>
            <w:tcW w:w="0" w:type="auto"/>
            <w:tcBorders>
              <w:top w:val="single" w:sz="4" w:space="0" w:color="auto"/>
            </w:tcBorders>
            <w:noWrap/>
            <w:hideMark/>
          </w:tcPr>
          <w:p w14:paraId="3F2F2CF9" w14:textId="77777777" w:rsidR="00A40917" w:rsidRPr="008A67E5" w:rsidRDefault="00A40917">
            <w:pPr>
              <w:rPr>
                <w:sz w:val="24"/>
                <w:szCs w:val="24"/>
              </w:rPr>
            </w:pPr>
          </w:p>
        </w:tc>
        <w:tc>
          <w:tcPr>
            <w:tcW w:w="0" w:type="auto"/>
            <w:tcBorders>
              <w:top w:val="single" w:sz="4" w:space="0" w:color="auto"/>
            </w:tcBorders>
            <w:noWrap/>
            <w:hideMark/>
          </w:tcPr>
          <w:p w14:paraId="0FDD118B" w14:textId="77777777" w:rsidR="00A40917" w:rsidRPr="008A67E5" w:rsidRDefault="00A40917">
            <w:pPr>
              <w:rPr>
                <w:sz w:val="24"/>
                <w:szCs w:val="24"/>
              </w:rPr>
            </w:pPr>
            <w:r w:rsidRPr="008A67E5">
              <w:rPr>
                <w:sz w:val="24"/>
                <w:szCs w:val="24"/>
              </w:rPr>
              <w:t>(1)</w:t>
            </w:r>
          </w:p>
        </w:tc>
        <w:tc>
          <w:tcPr>
            <w:tcW w:w="0" w:type="auto"/>
            <w:tcBorders>
              <w:top w:val="single" w:sz="4" w:space="0" w:color="auto"/>
            </w:tcBorders>
            <w:noWrap/>
            <w:hideMark/>
          </w:tcPr>
          <w:p w14:paraId="2EF6C71B" w14:textId="77777777" w:rsidR="00A40917" w:rsidRPr="008A67E5" w:rsidRDefault="00A40917">
            <w:pPr>
              <w:rPr>
                <w:sz w:val="24"/>
                <w:szCs w:val="24"/>
              </w:rPr>
            </w:pPr>
            <w:r w:rsidRPr="008A67E5">
              <w:rPr>
                <w:sz w:val="24"/>
                <w:szCs w:val="24"/>
              </w:rPr>
              <w:t>(2)</w:t>
            </w:r>
          </w:p>
        </w:tc>
        <w:tc>
          <w:tcPr>
            <w:tcW w:w="0" w:type="auto"/>
            <w:tcBorders>
              <w:top w:val="single" w:sz="4" w:space="0" w:color="auto"/>
            </w:tcBorders>
            <w:noWrap/>
            <w:hideMark/>
          </w:tcPr>
          <w:p w14:paraId="4C4126D5" w14:textId="77777777" w:rsidR="00A40917" w:rsidRPr="008A67E5" w:rsidRDefault="00A40917">
            <w:pPr>
              <w:rPr>
                <w:sz w:val="24"/>
                <w:szCs w:val="24"/>
              </w:rPr>
            </w:pPr>
            <w:r w:rsidRPr="008A67E5">
              <w:rPr>
                <w:sz w:val="24"/>
                <w:szCs w:val="24"/>
              </w:rPr>
              <w:t>(3)</w:t>
            </w:r>
          </w:p>
        </w:tc>
        <w:tc>
          <w:tcPr>
            <w:tcW w:w="0" w:type="auto"/>
            <w:tcBorders>
              <w:top w:val="single" w:sz="4" w:space="0" w:color="auto"/>
            </w:tcBorders>
            <w:noWrap/>
            <w:hideMark/>
          </w:tcPr>
          <w:p w14:paraId="7A7B92EA" w14:textId="77777777" w:rsidR="00A40917" w:rsidRPr="008A67E5" w:rsidRDefault="00A40917">
            <w:pPr>
              <w:rPr>
                <w:sz w:val="24"/>
                <w:szCs w:val="24"/>
              </w:rPr>
            </w:pPr>
            <w:r w:rsidRPr="008A67E5">
              <w:rPr>
                <w:sz w:val="24"/>
                <w:szCs w:val="24"/>
              </w:rPr>
              <w:t>(4)</w:t>
            </w:r>
          </w:p>
        </w:tc>
        <w:tc>
          <w:tcPr>
            <w:tcW w:w="0" w:type="auto"/>
            <w:tcBorders>
              <w:top w:val="single" w:sz="4" w:space="0" w:color="auto"/>
            </w:tcBorders>
            <w:noWrap/>
            <w:hideMark/>
          </w:tcPr>
          <w:p w14:paraId="71C01D88" w14:textId="77777777" w:rsidR="00A40917" w:rsidRPr="008A67E5" w:rsidRDefault="00A40917">
            <w:pPr>
              <w:rPr>
                <w:sz w:val="24"/>
                <w:szCs w:val="24"/>
              </w:rPr>
            </w:pPr>
            <w:r w:rsidRPr="008A67E5">
              <w:rPr>
                <w:sz w:val="24"/>
                <w:szCs w:val="24"/>
              </w:rPr>
              <w:t>(5)</w:t>
            </w:r>
          </w:p>
        </w:tc>
        <w:tc>
          <w:tcPr>
            <w:tcW w:w="0" w:type="auto"/>
            <w:tcBorders>
              <w:top w:val="single" w:sz="4" w:space="0" w:color="auto"/>
            </w:tcBorders>
            <w:noWrap/>
            <w:hideMark/>
          </w:tcPr>
          <w:p w14:paraId="7239D46D" w14:textId="77777777" w:rsidR="00A40917" w:rsidRPr="008A67E5" w:rsidRDefault="00A40917">
            <w:pPr>
              <w:rPr>
                <w:sz w:val="24"/>
                <w:szCs w:val="24"/>
              </w:rPr>
            </w:pPr>
            <w:r w:rsidRPr="008A67E5">
              <w:rPr>
                <w:sz w:val="24"/>
                <w:szCs w:val="24"/>
              </w:rPr>
              <w:t>(6)</w:t>
            </w:r>
          </w:p>
        </w:tc>
      </w:tr>
      <w:tr w:rsidR="00A40917" w:rsidRPr="005E78B9" w14:paraId="0AAEA8DA" w14:textId="77777777" w:rsidTr="008A67E5">
        <w:trPr>
          <w:trHeight w:val="300"/>
        </w:trPr>
        <w:tc>
          <w:tcPr>
            <w:tcW w:w="0" w:type="auto"/>
            <w:tcBorders>
              <w:bottom w:val="single" w:sz="4" w:space="0" w:color="auto"/>
            </w:tcBorders>
            <w:noWrap/>
            <w:hideMark/>
          </w:tcPr>
          <w:p w14:paraId="5C7F5DAB" w14:textId="77777777" w:rsidR="00A40917" w:rsidRPr="008A67E5" w:rsidRDefault="00A40917">
            <w:pPr>
              <w:rPr>
                <w:sz w:val="24"/>
                <w:szCs w:val="24"/>
              </w:rPr>
            </w:pPr>
          </w:p>
        </w:tc>
        <w:tc>
          <w:tcPr>
            <w:tcW w:w="0" w:type="auto"/>
            <w:tcBorders>
              <w:bottom w:val="single" w:sz="4" w:space="0" w:color="auto"/>
            </w:tcBorders>
            <w:noWrap/>
            <w:hideMark/>
          </w:tcPr>
          <w:p w14:paraId="1D393E64" w14:textId="77777777" w:rsidR="00A40917" w:rsidRPr="008A67E5" w:rsidRDefault="00A40917">
            <w:pPr>
              <w:rPr>
                <w:sz w:val="24"/>
                <w:szCs w:val="24"/>
              </w:rPr>
            </w:pPr>
            <w:r w:rsidRPr="008A67E5">
              <w:rPr>
                <w:sz w:val="24"/>
                <w:szCs w:val="24"/>
              </w:rPr>
              <w:t>CSN Final</w:t>
            </w:r>
          </w:p>
        </w:tc>
        <w:tc>
          <w:tcPr>
            <w:tcW w:w="0" w:type="auto"/>
            <w:tcBorders>
              <w:bottom w:val="single" w:sz="4" w:space="0" w:color="auto"/>
            </w:tcBorders>
            <w:noWrap/>
            <w:hideMark/>
          </w:tcPr>
          <w:p w14:paraId="381B50EE" w14:textId="77777777" w:rsidR="00A40917" w:rsidRPr="008A67E5" w:rsidRDefault="00A40917">
            <w:pPr>
              <w:rPr>
                <w:sz w:val="24"/>
                <w:szCs w:val="24"/>
              </w:rPr>
            </w:pPr>
            <w:r w:rsidRPr="008A67E5">
              <w:rPr>
                <w:sz w:val="24"/>
                <w:szCs w:val="24"/>
              </w:rPr>
              <w:t>CSN Intermediate</w:t>
            </w:r>
          </w:p>
        </w:tc>
        <w:tc>
          <w:tcPr>
            <w:tcW w:w="0" w:type="auto"/>
            <w:tcBorders>
              <w:bottom w:val="single" w:sz="4" w:space="0" w:color="auto"/>
            </w:tcBorders>
            <w:noWrap/>
            <w:hideMark/>
          </w:tcPr>
          <w:p w14:paraId="0AFC82B2" w14:textId="77777777" w:rsidR="00A40917" w:rsidRPr="008A67E5" w:rsidRDefault="00A40917">
            <w:pPr>
              <w:rPr>
                <w:sz w:val="24"/>
                <w:szCs w:val="24"/>
              </w:rPr>
            </w:pPr>
            <w:r w:rsidRPr="008A67E5">
              <w:rPr>
                <w:sz w:val="24"/>
                <w:szCs w:val="24"/>
              </w:rPr>
              <w:t>DIS Final</w:t>
            </w:r>
          </w:p>
        </w:tc>
        <w:tc>
          <w:tcPr>
            <w:tcW w:w="0" w:type="auto"/>
            <w:tcBorders>
              <w:bottom w:val="single" w:sz="4" w:space="0" w:color="auto"/>
            </w:tcBorders>
            <w:noWrap/>
            <w:hideMark/>
          </w:tcPr>
          <w:p w14:paraId="142E9E0A" w14:textId="77777777" w:rsidR="00A40917" w:rsidRPr="008A67E5" w:rsidRDefault="00A40917">
            <w:pPr>
              <w:rPr>
                <w:sz w:val="24"/>
                <w:szCs w:val="24"/>
              </w:rPr>
            </w:pPr>
            <w:r w:rsidRPr="008A67E5">
              <w:rPr>
                <w:sz w:val="24"/>
                <w:szCs w:val="24"/>
              </w:rPr>
              <w:t>DIS Intermediate</w:t>
            </w:r>
          </w:p>
        </w:tc>
        <w:tc>
          <w:tcPr>
            <w:tcW w:w="0" w:type="auto"/>
            <w:tcBorders>
              <w:bottom w:val="single" w:sz="4" w:space="0" w:color="auto"/>
            </w:tcBorders>
            <w:noWrap/>
            <w:hideMark/>
          </w:tcPr>
          <w:p w14:paraId="5B71A206" w14:textId="77777777" w:rsidR="00A40917" w:rsidRPr="008A67E5" w:rsidRDefault="00A40917">
            <w:pPr>
              <w:rPr>
                <w:sz w:val="24"/>
                <w:szCs w:val="24"/>
              </w:rPr>
            </w:pPr>
            <w:r w:rsidRPr="008A67E5">
              <w:rPr>
                <w:sz w:val="24"/>
                <w:szCs w:val="24"/>
              </w:rPr>
              <w:t>PTC Final</w:t>
            </w:r>
          </w:p>
        </w:tc>
        <w:tc>
          <w:tcPr>
            <w:tcW w:w="0" w:type="auto"/>
            <w:tcBorders>
              <w:bottom w:val="single" w:sz="4" w:space="0" w:color="auto"/>
            </w:tcBorders>
            <w:noWrap/>
            <w:hideMark/>
          </w:tcPr>
          <w:p w14:paraId="3161A975" w14:textId="77777777" w:rsidR="00A40917" w:rsidRPr="008A67E5" w:rsidRDefault="00A40917">
            <w:pPr>
              <w:rPr>
                <w:sz w:val="24"/>
                <w:szCs w:val="24"/>
              </w:rPr>
            </w:pPr>
            <w:r w:rsidRPr="008A67E5">
              <w:rPr>
                <w:sz w:val="24"/>
                <w:szCs w:val="24"/>
              </w:rPr>
              <w:t>PTC Intermediate</w:t>
            </w:r>
          </w:p>
        </w:tc>
      </w:tr>
      <w:tr w:rsidR="00A40917" w:rsidRPr="005E78B9" w14:paraId="465574F1" w14:textId="77777777" w:rsidTr="008A67E5">
        <w:trPr>
          <w:trHeight w:val="300"/>
        </w:trPr>
        <w:tc>
          <w:tcPr>
            <w:tcW w:w="0" w:type="auto"/>
            <w:tcBorders>
              <w:top w:val="single" w:sz="4" w:space="0" w:color="auto"/>
            </w:tcBorders>
            <w:noWrap/>
            <w:hideMark/>
          </w:tcPr>
          <w:p w14:paraId="69906146" w14:textId="5B3B72B3" w:rsidR="00A40917" w:rsidRPr="008A67E5" w:rsidRDefault="00A40917" w:rsidP="00A40917">
            <w:pPr>
              <w:rPr>
                <w:sz w:val="24"/>
                <w:szCs w:val="24"/>
              </w:rPr>
            </w:pPr>
            <w:r w:rsidRPr="008A67E5">
              <w:rPr>
                <w:sz w:val="24"/>
                <w:szCs w:val="24"/>
              </w:rPr>
              <w:t>Log(STRI)</w:t>
            </w:r>
          </w:p>
        </w:tc>
        <w:tc>
          <w:tcPr>
            <w:tcW w:w="0" w:type="auto"/>
            <w:tcBorders>
              <w:top w:val="single" w:sz="4" w:space="0" w:color="auto"/>
            </w:tcBorders>
            <w:noWrap/>
            <w:hideMark/>
          </w:tcPr>
          <w:p w14:paraId="62F0AF77" w14:textId="77777777" w:rsidR="00A40917" w:rsidRPr="008A67E5" w:rsidRDefault="00A40917" w:rsidP="00A40917">
            <w:pPr>
              <w:rPr>
                <w:sz w:val="24"/>
                <w:szCs w:val="24"/>
              </w:rPr>
            </w:pPr>
            <w:r w:rsidRPr="008A67E5">
              <w:rPr>
                <w:sz w:val="24"/>
                <w:szCs w:val="24"/>
              </w:rPr>
              <w:t>-0.037</w:t>
            </w:r>
          </w:p>
        </w:tc>
        <w:tc>
          <w:tcPr>
            <w:tcW w:w="0" w:type="auto"/>
            <w:tcBorders>
              <w:top w:val="single" w:sz="4" w:space="0" w:color="auto"/>
            </w:tcBorders>
            <w:noWrap/>
            <w:hideMark/>
          </w:tcPr>
          <w:p w14:paraId="46885DCB" w14:textId="77777777" w:rsidR="00A40917" w:rsidRPr="008A67E5" w:rsidRDefault="00A40917" w:rsidP="00A40917">
            <w:pPr>
              <w:rPr>
                <w:sz w:val="24"/>
                <w:szCs w:val="24"/>
              </w:rPr>
            </w:pPr>
            <w:r w:rsidRPr="008A67E5">
              <w:rPr>
                <w:sz w:val="24"/>
                <w:szCs w:val="24"/>
              </w:rPr>
              <w:t>0.197</w:t>
            </w:r>
          </w:p>
        </w:tc>
        <w:tc>
          <w:tcPr>
            <w:tcW w:w="0" w:type="auto"/>
            <w:tcBorders>
              <w:top w:val="single" w:sz="4" w:space="0" w:color="auto"/>
            </w:tcBorders>
            <w:noWrap/>
            <w:hideMark/>
          </w:tcPr>
          <w:p w14:paraId="78830E5B" w14:textId="77777777" w:rsidR="00A40917" w:rsidRPr="008A67E5" w:rsidRDefault="00A40917" w:rsidP="00A40917">
            <w:pPr>
              <w:rPr>
                <w:sz w:val="24"/>
                <w:szCs w:val="24"/>
              </w:rPr>
            </w:pPr>
            <w:r w:rsidRPr="008A67E5">
              <w:rPr>
                <w:sz w:val="24"/>
                <w:szCs w:val="24"/>
              </w:rPr>
              <w:t>0.171***</w:t>
            </w:r>
          </w:p>
        </w:tc>
        <w:tc>
          <w:tcPr>
            <w:tcW w:w="0" w:type="auto"/>
            <w:tcBorders>
              <w:top w:val="single" w:sz="4" w:space="0" w:color="auto"/>
            </w:tcBorders>
            <w:noWrap/>
            <w:hideMark/>
          </w:tcPr>
          <w:p w14:paraId="56CAC28D" w14:textId="77777777" w:rsidR="00A40917" w:rsidRPr="008A67E5" w:rsidRDefault="00A40917" w:rsidP="00A40917">
            <w:pPr>
              <w:rPr>
                <w:sz w:val="24"/>
                <w:szCs w:val="24"/>
              </w:rPr>
            </w:pPr>
            <w:r w:rsidRPr="008A67E5">
              <w:rPr>
                <w:sz w:val="24"/>
                <w:szCs w:val="24"/>
              </w:rPr>
              <w:t>0.042</w:t>
            </w:r>
          </w:p>
        </w:tc>
        <w:tc>
          <w:tcPr>
            <w:tcW w:w="0" w:type="auto"/>
            <w:tcBorders>
              <w:top w:val="single" w:sz="4" w:space="0" w:color="auto"/>
            </w:tcBorders>
            <w:noWrap/>
            <w:hideMark/>
          </w:tcPr>
          <w:p w14:paraId="3B96810D" w14:textId="77777777" w:rsidR="00A40917" w:rsidRPr="008A67E5" w:rsidRDefault="00A40917" w:rsidP="00A40917">
            <w:pPr>
              <w:rPr>
                <w:sz w:val="24"/>
                <w:szCs w:val="24"/>
              </w:rPr>
            </w:pPr>
            <w:r w:rsidRPr="008A67E5">
              <w:rPr>
                <w:sz w:val="24"/>
                <w:szCs w:val="24"/>
              </w:rPr>
              <w:t>0.154*</w:t>
            </w:r>
          </w:p>
        </w:tc>
        <w:tc>
          <w:tcPr>
            <w:tcW w:w="0" w:type="auto"/>
            <w:tcBorders>
              <w:top w:val="single" w:sz="4" w:space="0" w:color="auto"/>
            </w:tcBorders>
            <w:noWrap/>
            <w:hideMark/>
          </w:tcPr>
          <w:p w14:paraId="17E1A3CC" w14:textId="77777777" w:rsidR="00A40917" w:rsidRPr="008A67E5" w:rsidRDefault="00A40917" w:rsidP="00A40917">
            <w:pPr>
              <w:rPr>
                <w:sz w:val="24"/>
                <w:szCs w:val="24"/>
              </w:rPr>
            </w:pPr>
            <w:r w:rsidRPr="008A67E5">
              <w:rPr>
                <w:sz w:val="24"/>
                <w:szCs w:val="24"/>
              </w:rPr>
              <w:t>0.195**</w:t>
            </w:r>
          </w:p>
        </w:tc>
      </w:tr>
      <w:tr w:rsidR="00A40917" w:rsidRPr="005E78B9" w14:paraId="100F1F63" w14:textId="77777777" w:rsidTr="008A67E5">
        <w:trPr>
          <w:trHeight w:val="300"/>
        </w:trPr>
        <w:tc>
          <w:tcPr>
            <w:tcW w:w="0" w:type="auto"/>
            <w:noWrap/>
            <w:hideMark/>
          </w:tcPr>
          <w:p w14:paraId="5774255B" w14:textId="77777777" w:rsidR="00A40917" w:rsidRPr="008A67E5" w:rsidRDefault="00A40917" w:rsidP="00A40917">
            <w:pPr>
              <w:rPr>
                <w:sz w:val="24"/>
                <w:szCs w:val="24"/>
              </w:rPr>
            </w:pPr>
          </w:p>
        </w:tc>
        <w:tc>
          <w:tcPr>
            <w:tcW w:w="0" w:type="auto"/>
            <w:noWrap/>
            <w:hideMark/>
          </w:tcPr>
          <w:p w14:paraId="1DC9EBCD" w14:textId="77777777" w:rsidR="00A40917" w:rsidRPr="008A67E5" w:rsidRDefault="00A40917" w:rsidP="00A40917">
            <w:pPr>
              <w:rPr>
                <w:sz w:val="24"/>
                <w:szCs w:val="24"/>
              </w:rPr>
            </w:pPr>
            <w:r w:rsidRPr="008A67E5">
              <w:rPr>
                <w:sz w:val="24"/>
                <w:szCs w:val="24"/>
              </w:rPr>
              <w:t>(0.819)</w:t>
            </w:r>
          </w:p>
        </w:tc>
        <w:tc>
          <w:tcPr>
            <w:tcW w:w="0" w:type="auto"/>
            <w:noWrap/>
            <w:hideMark/>
          </w:tcPr>
          <w:p w14:paraId="6667E5D8" w14:textId="77777777" w:rsidR="00A40917" w:rsidRPr="008A67E5" w:rsidRDefault="00A40917" w:rsidP="00A40917">
            <w:pPr>
              <w:rPr>
                <w:sz w:val="24"/>
                <w:szCs w:val="24"/>
              </w:rPr>
            </w:pPr>
            <w:r w:rsidRPr="008A67E5">
              <w:rPr>
                <w:sz w:val="24"/>
                <w:szCs w:val="24"/>
              </w:rPr>
              <w:t>(0.263)</w:t>
            </w:r>
          </w:p>
        </w:tc>
        <w:tc>
          <w:tcPr>
            <w:tcW w:w="0" w:type="auto"/>
            <w:noWrap/>
            <w:hideMark/>
          </w:tcPr>
          <w:p w14:paraId="3AE98F86" w14:textId="77777777" w:rsidR="00A40917" w:rsidRPr="008A67E5" w:rsidRDefault="00A40917" w:rsidP="00A40917">
            <w:pPr>
              <w:rPr>
                <w:sz w:val="24"/>
                <w:szCs w:val="24"/>
              </w:rPr>
            </w:pPr>
            <w:r w:rsidRPr="008A67E5">
              <w:rPr>
                <w:sz w:val="24"/>
                <w:szCs w:val="24"/>
              </w:rPr>
              <w:t>(0.001)</w:t>
            </w:r>
          </w:p>
        </w:tc>
        <w:tc>
          <w:tcPr>
            <w:tcW w:w="0" w:type="auto"/>
            <w:noWrap/>
            <w:hideMark/>
          </w:tcPr>
          <w:p w14:paraId="2D33CB6B" w14:textId="77777777" w:rsidR="00A40917" w:rsidRPr="008A67E5" w:rsidRDefault="00A40917" w:rsidP="00A40917">
            <w:pPr>
              <w:rPr>
                <w:sz w:val="24"/>
                <w:szCs w:val="24"/>
              </w:rPr>
            </w:pPr>
            <w:r w:rsidRPr="008A67E5">
              <w:rPr>
                <w:sz w:val="24"/>
                <w:szCs w:val="24"/>
              </w:rPr>
              <w:t>(0.447)</w:t>
            </w:r>
          </w:p>
        </w:tc>
        <w:tc>
          <w:tcPr>
            <w:tcW w:w="0" w:type="auto"/>
            <w:noWrap/>
            <w:hideMark/>
          </w:tcPr>
          <w:p w14:paraId="370F8324" w14:textId="77777777" w:rsidR="00A40917" w:rsidRPr="008A67E5" w:rsidRDefault="00A40917" w:rsidP="00A40917">
            <w:pPr>
              <w:rPr>
                <w:sz w:val="24"/>
                <w:szCs w:val="24"/>
              </w:rPr>
            </w:pPr>
            <w:r w:rsidRPr="008A67E5">
              <w:rPr>
                <w:sz w:val="24"/>
                <w:szCs w:val="24"/>
              </w:rPr>
              <w:t>(0.094)</w:t>
            </w:r>
          </w:p>
        </w:tc>
        <w:tc>
          <w:tcPr>
            <w:tcW w:w="0" w:type="auto"/>
            <w:noWrap/>
            <w:hideMark/>
          </w:tcPr>
          <w:p w14:paraId="6926C98D" w14:textId="77777777" w:rsidR="00A40917" w:rsidRPr="008A67E5" w:rsidRDefault="00A40917" w:rsidP="00A40917">
            <w:pPr>
              <w:rPr>
                <w:sz w:val="24"/>
                <w:szCs w:val="24"/>
              </w:rPr>
            </w:pPr>
            <w:r w:rsidRPr="008A67E5">
              <w:rPr>
                <w:sz w:val="24"/>
                <w:szCs w:val="24"/>
              </w:rPr>
              <w:t>(0.038)</w:t>
            </w:r>
          </w:p>
        </w:tc>
      </w:tr>
      <w:tr w:rsidR="00A40917" w:rsidRPr="005E78B9" w14:paraId="7A0834B7" w14:textId="77777777" w:rsidTr="008A67E5">
        <w:trPr>
          <w:trHeight w:val="300"/>
        </w:trPr>
        <w:tc>
          <w:tcPr>
            <w:tcW w:w="0" w:type="auto"/>
            <w:noWrap/>
            <w:hideMark/>
          </w:tcPr>
          <w:p w14:paraId="2F33C16D" w14:textId="73516224" w:rsidR="00A40917" w:rsidRPr="008A67E5" w:rsidRDefault="00A40917" w:rsidP="00A40917">
            <w:pPr>
              <w:rPr>
                <w:sz w:val="24"/>
                <w:szCs w:val="24"/>
              </w:rPr>
            </w:pPr>
            <w:r w:rsidRPr="008A67E5">
              <w:rPr>
                <w:sz w:val="24"/>
                <w:szCs w:val="24"/>
              </w:rPr>
              <w:t>Log(Distance)</w:t>
            </w:r>
          </w:p>
        </w:tc>
        <w:tc>
          <w:tcPr>
            <w:tcW w:w="0" w:type="auto"/>
            <w:noWrap/>
            <w:hideMark/>
          </w:tcPr>
          <w:p w14:paraId="6F904FBB" w14:textId="77777777" w:rsidR="00A40917" w:rsidRPr="008A67E5" w:rsidRDefault="00A40917" w:rsidP="00A40917">
            <w:pPr>
              <w:rPr>
                <w:sz w:val="24"/>
                <w:szCs w:val="24"/>
              </w:rPr>
            </w:pPr>
            <w:r w:rsidRPr="008A67E5">
              <w:rPr>
                <w:sz w:val="24"/>
                <w:szCs w:val="24"/>
              </w:rPr>
              <w:t>0.152***</w:t>
            </w:r>
          </w:p>
        </w:tc>
        <w:tc>
          <w:tcPr>
            <w:tcW w:w="0" w:type="auto"/>
            <w:noWrap/>
            <w:hideMark/>
          </w:tcPr>
          <w:p w14:paraId="0E4FB0AC" w14:textId="77777777" w:rsidR="00A40917" w:rsidRPr="008A67E5" w:rsidRDefault="00A40917" w:rsidP="00A40917">
            <w:pPr>
              <w:rPr>
                <w:sz w:val="24"/>
                <w:szCs w:val="24"/>
              </w:rPr>
            </w:pPr>
            <w:r w:rsidRPr="008A67E5">
              <w:rPr>
                <w:sz w:val="24"/>
                <w:szCs w:val="24"/>
              </w:rPr>
              <w:t>0.188***</w:t>
            </w:r>
          </w:p>
        </w:tc>
        <w:tc>
          <w:tcPr>
            <w:tcW w:w="0" w:type="auto"/>
            <w:noWrap/>
            <w:hideMark/>
          </w:tcPr>
          <w:p w14:paraId="22397427" w14:textId="77777777" w:rsidR="00A40917" w:rsidRPr="008A67E5" w:rsidRDefault="00A40917" w:rsidP="00A40917">
            <w:pPr>
              <w:rPr>
                <w:sz w:val="24"/>
                <w:szCs w:val="24"/>
              </w:rPr>
            </w:pPr>
            <w:r w:rsidRPr="008A67E5">
              <w:rPr>
                <w:sz w:val="24"/>
                <w:szCs w:val="24"/>
              </w:rPr>
              <w:t>0.129***</w:t>
            </w:r>
          </w:p>
        </w:tc>
        <w:tc>
          <w:tcPr>
            <w:tcW w:w="0" w:type="auto"/>
            <w:noWrap/>
            <w:hideMark/>
          </w:tcPr>
          <w:p w14:paraId="1129C274" w14:textId="77777777" w:rsidR="00A40917" w:rsidRPr="008A67E5" w:rsidRDefault="00A40917" w:rsidP="00A40917">
            <w:pPr>
              <w:rPr>
                <w:sz w:val="24"/>
                <w:szCs w:val="24"/>
              </w:rPr>
            </w:pPr>
            <w:r w:rsidRPr="008A67E5">
              <w:rPr>
                <w:sz w:val="24"/>
                <w:szCs w:val="24"/>
              </w:rPr>
              <w:t>0.154***</w:t>
            </w:r>
          </w:p>
        </w:tc>
        <w:tc>
          <w:tcPr>
            <w:tcW w:w="0" w:type="auto"/>
            <w:noWrap/>
            <w:hideMark/>
          </w:tcPr>
          <w:p w14:paraId="0A159E28" w14:textId="77777777" w:rsidR="00A40917" w:rsidRPr="008A67E5" w:rsidRDefault="00A40917" w:rsidP="00A40917">
            <w:pPr>
              <w:rPr>
                <w:sz w:val="24"/>
                <w:szCs w:val="24"/>
              </w:rPr>
            </w:pPr>
            <w:r w:rsidRPr="008A67E5">
              <w:rPr>
                <w:sz w:val="24"/>
                <w:szCs w:val="24"/>
              </w:rPr>
              <w:t>0.187***</w:t>
            </w:r>
          </w:p>
        </w:tc>
        <w:tc>
          <w:tcPr>
            <w:tcW w:w="0" w:type="auto"/>
            <w:noWrap/>
            <w:hideMark/>
          </w:tcPr>
          <w:p w14:paraId="7A6118FA" w14:textId="77777777" w:rsidR="00A40917" w:rsidRPr="008A67E5" w:rsidRDefault="00A40917" w:rsidP="00A40917">
            <w:pPr>
              <w:rPr>
                <w:sz w:val="24"/>
                <w:szCs w:val="24"/>
              </w:rPr>
            </w:pPr>
            <w:r w:rsidRPr="008A67E5">
              <w:rPr>
                <w:sz w:val="24"/>
                <w:szCs w:val="24"/>
              </w:rPr>
              <w:t>0.195***</w:t>
            </w:r>
          </w:p>
        </w:tc>
      </w:tr>
      <w:tr w:rsidR="00A40917" w:rsidRPr="005E78B9" w14:paraId="29AC0CE9" w14:textId="77777777" w:rsidTr="008A67E5">
        <w:trPr>
          <w:trHeight w:val="300"/>
        </w:trPr>
        <w:tc>
          <w:tcPr>
            <w:tcW w:w="0" w:type="auto"/>
            <w:noWrap/>
            <w:hideMark/>
          </w:tcPr>
          <w:p w14:paraId="27DB4119" w14:textId="77777777" w:rsidR="00A40917" w:rsidRPr="008A67E5" w:rsidRDefault="00A40917" w:rsidP="00A40917">
            <w:pPr>
              <w:rPr>
                <w:sz w:val="24"/>
                <w:szCs w:val="24"/>
              </w:rPr>
            </w:pPr>
          </w:p>
        </w:tc>
        <w:tc>
          <w:tcPr>
            <w:tcW w:w="0" w:type="auto"/>
            <w:noWrap/>
            <w:hideMark/>
          </w:tcPr>
          <w:p w14:paraId="215D3639" w14:textId="77777777" w:rsidR="00A40917" w:rsidRPr="008A67E5" w:rsidRDefault="00A40917" w:rsidP="00A40917">
            <w:pPr>
              <w:rPr>
                <w:sz w:val="24"/>
                <w:szCs w:val="24"/>
              </w:rPr>
            </w:pPr>
            <w:r w:rsidRPr="008A67E5">
              <w:rPr>
                <w:sz w:val="24"/>
                <w:szCs w:val="24"/>
              </w:rPr>
              <w:t>(0.000)</w:t>
            </w:r>
          </w:p>
        </w:tc>
        <w:tc>
          <w:tcPr>
            <w:tcW w:w="0" w:type="auto"/>
            <w:noWrap/>
            <w:hideMark/>
          </w:tcPr>
          <w:p w14:paraId="0FF5EFE4" w14:textId="77777777" w:rsidR="00A40917" w:rsidRPr="008A67E5" w:rsidRDefault="00A40917" w:rsidP="00A40917">
            <w:pPr>
              <w:rPr>
                <w:sz w:val="24"/>
                <w:szCs w:val="24"/>
              </w:rPr>
            </w:pPr>
            <w:r w:rsidRPr="008A67E5">
              <w:rPr>
                <w:sz w:val="24"/>
                <w:szCs w:val="24"/>
              </w:rPr>
              <w:t>(0.000)</w:t>
            </w:r>
          </w:p>
        </w:tc>
        <w:tc>
          <w:tcPr>
            <w:tcW w:w="0" w:type="auto"/>
            <w:noWrap/>
            <w:hideMark/>
          </w:tcPr>
          <w:p w14:paraId="6900C6BB" w14:textId="77777777" w:rsidR="00A40917" w:rsidRPr="008A67E5" w:rsidRDefault="00A40917" w:rsidP="00A40917">
            <w:pPr>
              <w:rPr>
                <w:sz w:val="24"/>
                <w:szCs w:val="24"/>
              </w:rPr>
            </w:pPr>
            <w:r w:rsidRPr="008A67E5">
              <w:rPr>
                <w:sz w:val="24"/>
                <w:szCs w:val="24"/>
              </w:rPr>
              <w:t>(0.000)</w:t>
            </w:r>
          </w:p>
        </w:tc>
        <w:tc>
          <w:tcPr>
            <w:tcW w:w="0" w:type="auto"/>
            <w:noWrap/>
            <w:hideMark/>
          </w:tcPr>
          <w:p w14:paraId="5DD4EA05" w14:textId="77777777" w:rsidR="00A40917" w:rsidRPr="008A67E5" w:rsidRDefault="00A40917" w:rsidP="00A40917">
            <w:pPr>
              <w:rPr>
                <w:sz w:val="24"/>
                <w:szCs w:val="24"/>
              </w:rPr>
            </w:pPr>
            <w:r w:rsidRPr="008A67E5">
              <w:rPr>
                <w:sz w:val="24"/>
                <w:szCs w:val="24"/>
              </w:rPr>
              <w:t>(0.000)</w:t>
            </w:r>
          </w:p>
        </w:tc>
        <w:tc>
          <w:tcPr>
            <w:tcW w:w="0" w:type="auto"/>
            <w:noWrap/>
            <w:hideMark/>
          </w:tcPr>
          <w:p w14:paraId="4C22A5D8" w14:textId="77777777" w:rsidR="00A40917" w:rsidRPr="008A67E5" w:rsidRDefault="00A40917" w:rsidP="00A40917">
            <w:pPr>
              <w:rPr>
                <w:sz w:val="24"/>
                <w:szCs w:val="24"/>
              </w:rPr>
            </w:pPr>
            <w:r w:rsidRPr="008A67E5">
              <w:rPr>
                <w:sz w:val="24"/>
                <w:szCs w:val="24"/>
              </w:rPr>
              <w:t>(0.000)</w:t>
            </w:r>
          </w:p>
        </w:tc>
        <w:tc>
          <w:tcPr>
            <w:tcW w:w="0" w:type="auto"/>
            <w:noWrap/>
            <w:hideMark/>
          </w:tcPr>
          <w:p w14:paraId="68413C1D" w14:textId="77777777" w:rsidR="00A40917" w:rsidRPr="008A67E5" w:rsidRDefault="00A40917" w:rsidP="00A40917">
            <w:pPr>
              <w:rPr>
                <w:sz w:val="24"/>
                <w:szCs w:val="24"/>
              </w:rPr>
            </w:pPr>
            <w:r w:rsidRPr="008A67E5">
              <w:rPr>
                <w:sz w:val="24"/>
                <w:szCs w:val="24"/>
              </w:rPr>
              <w:t>(0.000)</w:t>
            </w:r>
          </w:p>
        </w:tc>
      </w:tr>
      <w:tr w:rsidR="00A40917" w:rsidRPr="005E78B9" w14:paraId="479CE394" w14:textId="77777777" w:rsidTr="008A67E5">
        <w:trPr>
          <w:trHeight w:val="300"/>
        </w:trPr>
        <w:tc>
          <w:tcPr>
            <w:tcW w:w="0" w:type="auto"/>
            <w:noWrap/>
            <w:hideMark/>
          </w:tcPr>
          <w:p w14:paraId="48782175" w14:textId="660AACAF" w:rsidR="00A40917" w:rsidRPr="008A67E5" w:rsidRDefault="00A40917" w:rsidP="00A40917">
            <w:pPr>
              <w:rPr>
                <w:sz w:val="24"/>
                <w:szCs w:val="24"/>
              </w:rPr>
            </w:pPr>
            <w:r w:rsidRPr="008A67E5">
              <w:rPr>
                <w:sz w:val="24"/>
                <w:szCs w:val="24"/>
              </w:rPr>
              <w:t>Common Language</w:t>
            </w:r>
          </w:p>
        </w:tc>
        <w:tc>
          <w:tcPr>
            <w:tcW w:w="0" w:type="auto"/>
            <w:noWrap/>
            <w:hideMark/>
          </w:tcPr>
          <w:p w14:paraId="43A8650A" w14:textId="77777777" w:rsidR="00A40917" w:rsidRPr="008A67E5" w:rsidRDefault="00A40917" w:rsidP="00A40917">
            <w:pPr>
              <w:rPr>
                <w:sz w:val="24"/>
                <w:szCs w:val="24"/>
              </w:rPr>
            </w:pPr>
            <w:r w:rsidRPr="008A67E5">
              <w:rPr>
                <w:sz w:val="24"/>
                <w:szCs w:val="24"/>
              </w:rPr>
              <w:t>-0.160**</w:t>
            </w:r>
          </w:p>
        </w:tc>
        <w:tc>
          <w:tcPr>
            <w:tcW w:w="0" w:type="auto"/>
            <w:noWrap/>
            <w:hideMark/>
          </w:tcPr>
          <w:p w14:paraId="2E38FAD0" w14:textId="77777777" w:rsidR="00A40917" w:rsidRPr="008A67E5" w:rsidRDefault="00A40917" w:rsidP="00A40917">
            <w:pPr>
              <w:rPr>
                <w:sz w:val="24"/>
                <w:szCs w:val="24"/>
              </w:rPr>
            </w:pPr>
            <w:r w:rsidRPr="008A67E5">
              <w:rPr>
                <w:sz w:val="24"/>
                <w:szCs w:val="24"/>
              </w:rPr>
              <w:t>-0.139*</w:t>
            </w:r>
          </w:p>
        </w:tc>
        <w:tc>
          <w:tcPr>
            <w:tcW w:w="0" w:type="auto"/>
            <w:noWrap/>
            <w:hideMark/>
          </w:tcPr>
          <w:p w14:paraId="5AFAD0A8" w14:textId="77777777" w:rsidR="00A40917" w:rsidRPr="008A67E5" w:rsidRDefault="00A40917" w:rsidP="00A40917">
            <w:pPr>
              <w:rPr>
                <w:sz w:val="24"/>
                <w:szCs w:val="24"/>
              </w:rPr>
            </w:pPr>
            <w:r w:rsidRPr="008A67E5">
              <w:rPr>
                <w:sz w:val="24"/>
                <w:szCs w:val="24"/>
              </w:rPr>
              <w:t>-0.112**</w:t>
            </w:r>
          </w:p>
        </w:tc>
        <w:tc>
          <w:tcPr>
            <w:tcW w:w="0" w:type="auto"/>
            <w:noWrap/>
            <w:hideMark/>
          </w:tcPr>
          <w:p w14:paraId="6323A7BA" w14:textId="77777777" w:rsidR="00A40917" w:rsidRPr="008A67E5" w:rsidRDefault="00A40917" w:rsidP="00A40917">
            <w:pPr>
              <w:rPr>
                <w:sz w:val="24"/>
                <w:szCs w:val="24"/>
              </w:rPr>
            </w:pPr>
            <w:r w:rsidRPr="008A67E5">
              <w:rPr>
                <w:sz w:val="24"/>
                <w:szCs w:val="24"/>
              </w:rPr>
              <w:t>-0.103*</w:t>
            </w:r>
          </w:p>
        </w:tc>
        <w:tc>
          <w:tcPr>
            <w:tcW w:w="0" w:type="auto"/>
            <w:noWrap/>
            <w:hideMark/>
          </w:tcPr>
          <w:p w14:paraId="69E67D95" w14:textId="77777777" w:rsidR="00A40917" w:rsidRPr="008A67E5" w:rsidRDefault="00A40917" w:rsidP="00A40917">
            <w:pPr>
              <w:rPr>
                <w:sz w:val="24"/>
                <w:szCs w:val="24"/>
              </w:rPr>
            </w:pPr>
            <w:r w:rsidRPr="008A67E5">
              <w:rPr>
                <w:sz w:val="24"/>
                <w:szCs w:val="24"/>
              </w:rPr>
              <w:t>-0.222**</w:t>
            </w:r>
          </w:p>
        </w:tc>
        <w:tc>
          <w:tcPr>
            <w:tcW w:w="0" w:type="auto"/>
            <w:noWrap/>
            <w:hideMark/>
          </w:tcPr>
          <w:p w14:paraId="4A6CB65D" w14:textId="77777777" w:rsidR="00A40917" w:rsidRPr="008A67E5" w:rsidRDefault="00A40917" w:rsidP="00A40917">
            <w:pPr>
              <w:rPr>
                <w:sz w:val="24"/>
                <w:szCs w:val="24"/>
              </w:rPr>
            </w:pPr>
            <w:r w:rsidRPr="008A67E5">
              <w:rPr>
                <w:sz w:val="24"/>
                <w:szCs w:val="24"/>
              </w:rPr>
              <w:t>-0.181*</w:t>
            </w:r>
          </w:p>
        </w:tc>
      </w:tr>
      <w:tr w:rsidR="00A40917" w:rsidRPr="005E78B9" w14:paraId="1E2EF6F8" w14:textId="77777777" w:rsidTr="008A67E5">
        <w:trPr>
          <w:trHeight w:val="300"/>
        </w:trPr>
        <w:tc>
          <w:tcPr>
            <w:tcW w:w="0" w:type="auto"/>
            <w:noWrap/>
            <w:hideMark/>
          </w:tcPr>
          <w:p w14:paraId="68D37DC7" w14:textId="77777777" w:rsidR="00A40917" w:rsidRPr="008A67E5" w:rsidRDefault="00A40917" w:rsidP="00A40917">
            <w:pPr>
              <w:rPr>
                <w:sz w:val="24"/>
                <w:szCs w:val="24"/>
              </w:rPr>
            </w:pPr>
          </w:p>
        </w:tc>
        <w:tc>
          <w:tcPr>
            <w:tcW w:w="0" w:type="auto"/>
            <w:noWrap/>
            <w:hideMark/>
          </w:tcPr>
          <w:p w14:paraId="148D3368" w14:textId="77777777" w:rsidR="00A40917" w:rsidRPr="008A67E5" w:rsidRDefault="00A40917" w:rsidP="00A40917">
            <w:pPr>
              <w:rPr>
                <w:sz w:val="24"/>
                <w:szCs w:val="24"/>
              </w:rPr>
            </w:pPr>
            <w:r w:rsidRPr="008A67E5">
              <w:rPr>
                <w:sz w:val="24"/>
                <w:szCs w:val="24"/>
              </w:rPr>
              <w:t>(0.039)</w:t>
            </w:r>
          </w:p>
        </w:tc>
        <w:tc>
          <w:tcPr>
            <w:tcW w:w="0" w:type="auto"/>
            <w:noWrap/>
            <w:hideMark/>
          </w:tcPr>
          <w:p w14:paraId="07F9D6C8" w14:textId="77777777" w:rsidR="00A40917" w:rsidRPr="008A67E5" w:rsidRDefault="00A40917" w:rsidP="00A40917">
            <w:pPr>
              <w:rPr>
                <w:sz w:val="24"/>
                <w:szCs w:val="24"/>
              </w:rPr>
            </w:pPr>
            <w:r w:rsidRPr="008A67E5">
              <w:rPr>
                <w:sz w:val="24"/>
                <w:szCs w:val="24"/>
              </w:rPr>
              <w:t>(0.075)</w:t>
            </w:r>
          </w:p>
        </w:tc>
        <w:tc>
          <w:tcPr>
            <w:tcW w:w="0" w:type="auto"/>
            <w:noWrap/>
            <w:hideMark/>
          </w:tcPr>
          <w:p w14:paraId="16B15A66" w14:textId="77777777" w:rsidR="00A40917" w:rsidRPr="008A67E5" w:rsidRDefault="00A40917" w:rsidP="00A40917">
            <w:pPr>
              <w:rPr>
                <w:sz w:val="24"/>
                <w:szCs w:val="24"/>
              </w:rPr>
            </w:pPr>
            <w:r w:rsidRPr="008A67E5">
              <w:rPr>
                <w:sz w:val="24"/>
                <w:szCs w:val="24"/>
              </w:rPr>
              <w:t>(0.038)</w:t>
            </w:r>
          </w:p>
        </w:tc>
        <w:tc>
          <w:tcPr>
            <w:tcW w:w="0" w:type="auto"/>
            <w:noWrap/>
            <w:hideMark/>
          </w:tcPr>
          <w:p w14:paraId="2CE5C72F" w14:textId="77777777" w:rsidR="00A40917" w:rsidRPr="008A67E5" w:rsidRDefault="00A40917" w:rsidP="00A40917">
            <w:pPr>
              <w:rPr>
                <w:sz w:val="24"/>
                <w:szCs w:val="24"/>
              </w:rPr>
            </w:pPr>
            <w:r w:rsidRPr="008A67E5">
              <w:rPr>
                <w:sz w:val="24"/>
                <w:szCs w:val="24"/>
              </w:rPr>
              <w:t>(0.085)</w:t>
            </w:r>
          </w:p>
        </w:tc>
        <w:tc>
          <w:tcPr>
            <w:tcW w:w="0" w:type="auto"/>
            <w:noWrap/>
            <w:hideMark/>
          </w:tcPr>
          <w:p w14:paraId="06171E89" w14:textId="77777777" w:rsidR="00A40917" w:rsidRPr="008A67E5" w:rsidRDefault="00A40917" w:rsidP="00A40917">
            <w:pPr>
              <w:rPr>
                <w:sz w:val="24"/>
                <w:szCs w:val="24"/>
              </w:rPr>
            </w:pPr>
            <w:r w:rsidRPr="008A67E5">
              <w:rPr>
                <w:sz w:val="24"/>
                <w:szCs w:val="24"/>
              </w:rPr>
              <w:t>(0.033)</w:t>
            </w:r>
          </w:p>
        </w:tc>
        <w:tc>
          <w:tcPr>
            <w:tcW w:w="0" w:type="auto"/>
            <w:noWrap/>
            <w:hideMark/>
          </w:tcPr>
          <w:p w14:paraId="3FFB13AF" w14:textId="77777777" w:rsidR="00A40917" w:rsidRPr="008A67E5" w:rsidRDefault="00A40917" w:rsidP="00A40917">
            <w:pPr>
              <w:rPr>
                <w:sz w:val="24"/>
                <w:szCs w:val="24"/>
              </w:rPr>
            </w:pPr>
            <w:r w:rsidRPr="008A67E5">
              <w:rPr>
                <w:sz w:val="24"/>
                <w:szCs w:val="24"/>
              </w:rPr>
              <w:t>(0.083)</w:t>
            </w:r>
          </w:p>
        </w:tc>
      </w:tr>
      <w:tr w:rsidR="00A40917" w:rsidRPr="005E78B9" w14:paraId="11086664" w14:textId="77777777" w:rsidTr="008A67E5">
        <w:trPr>
          <w:trHeight w:val="300"/>
        </w:trPr>
        <w:tc>
          <w:tcPr>
            <w:tcW w:w="0" w:type="auto"/>
            <w:noWrap/>
            <w:hideMark/>
          </w:tcPr>
          <w:p w14:paraId="0AC54C22" w14:textId="199FFA1F" w:rsidR="00A40917" w:rsidRPr="008A67E5" w:rsidRDefault="00A40917" w:rsidP="00A40917">
            <w:pPr>
              <w:rPr>
                <w:sz w:val="24"/>
                <w:szCs w:val="24"/>
              </w:rPr>
            </w:pPr>
            <w:r w:rsidRPr="008A67E5">
              <w:rPr>
                <w:sz w:val="24"/>
                <w:szCs w:val="24"/>
              </w:rPr>
              <w:t>Colony</w:t>
            </w:r>
          </w:p>
        </w:tc>
        <w:tc>
          <w:tcPr>
            <w:tcW w:w="0" w:type="auto"/>
            <w:noWrap/>
            <w:hideMark/>
          </w:tcPr>
          <w:p w14:paraId="4E066521" w14:textId="77777777" w:rsidR="00A40917" w:rsidRPr="008A67E5" w:rsidRDefault="00A40917" w:rsidP="00A40917">
            <w:pPr>
              <w:rPr>
                <w:sz w:val="24"/>
                <w:szCs w:val="24"/>
              </w:rPr>
            </w:pPr>
            <w:r w:rsidRPr="008A67E5">
              <w:rPr>
                <w:sz w:val="24"/>
                <w:szCs w:val="24"/>
              </w:rPr>
              <w:t>-0.228**</w:t>
            </w:r>
          </w:p>
        </w:tc>
        <w:tc>
          <w:tcPr>
            <w:tcW w:w="0" w:type="auto"/>
            <w:noWrap/>
            <w:hideMark/>
          </w:tcPr>
          <w:p w14:paraId="66628657" w14:textId="77777777" w:rsidR="00A40917" w:rsidRPr="008A67E5" w:rsidRDefault="00A40917" w:rsidP="00A40917">
            <w:pPr>
              <w:rPr>
                <w:sz w:val="24"/>
                <w:szCs w:val="24"/>
              </w:rPr>
            </w:pPr>
            <w:r w:rsidRPr="008A67E5">
              <w:rPr>
                <w:sz w:val="24"/>
                <w:szCs w:val="24"/>
              </w:rPr>
              <w:t>-0.220**</w:t>
            </w:r>
          </w:p>
        </w:tc>
        <w:tc>
          <w:tcPr>
            <w:tcW w:w="0" w:type="auto"/>
            <w:noWrap/>
            <w:hideMark/>
          </w:tcPr>
          <w:p w14:paraId="6CC8B243" w14:textId="77777777" w:rsidR="00A40917" w:rsidRPr="008A67E5" w:rsidRDefault="00A40917" w:rsidP="00A40917">
            <w:pPr>
              <w:rPr>
                <w:sz w:val="24"/>
                <w:szCs w:val="24"/>
              </w:rPr>
            </w:pPr>
            <w:r w:rsidRPr="008A67E5">
              <w:rPr>
                <w:sz w:val="24"/>
                <w:szCs w:val="24"/>
              </w:rPr>
              <w:t>-0.158**</w:t>
            </w:r>
          </w:p>
        </w:tc>
        <w:tc>
          <w:tcPr>
            <w:tcW w:w="0" w:type="auto"/>
            <w:noWrap/>
            <w:hideMark/>
          </w:tcPr>
          <w:p w14:paraId="6A6B9B70" w14:textId="77777777" w:rsidR="00A40917" w:rsidRPr="008A67E5" w:rsidRDefault="00A40917" w:rsidP="00A40917">
            <w:pPr>
              <w:rPr>
                <w:sz w:val="24"/>
                <w:szCs w:val="24"/>
              </w:rPr>
            </w:pPr>
            <w:r w:rsidRPr="008A67E5">
              <w:rPr>
                <w:sz w:val="24"/>
                <w:szCs w:val="24"/>
              </w:rPr>
              <w:t>-0.195***</w:t>
            </w:r>
          </w:p>
        </w:tc>
        <w:tc>
          <w:tcPr>
            <w:tcW w:w="0" w:type="auto"/>
            <w:noWrap/>
            <w:hideMark/>
          </w:tcPr>
          <w:p w14:paraId="3D37157E" w14:textId="77777777" w:rsidR="00A40917" w:rsidRPr="008A67E5" w:rsidRDefault="00A40917" w:rsidP="00A40917">
            <w:pPr>
              <w:rPr>
                <w:sz w:val="24"/>
                <w:szCs w:val="24"/>
              </w:rPr>
            </w:pPr>
            <w:r w:rsidRPr="008A67E5">
              <w:rPr>
                <w:sz w:val="24"/>
                <w:szCs w:val="24"/>
              </w:rPr>
              <w:t>-0.275***</w:t>
            </w:r>
          </w:p>
        </w:tc>
        <w:tc>
          <w:tcPr>
            <w:tcW w:w="0" w:type="auto"/>
            <w:noWrap/>
            <w:hideMark/>
          </w:tcPr>
          <w:p w14:paraId="05405BA4" w14:textId="77777777" w:rsidR="00A40917" w:rsidRPr="008A67E5" w:rsidRDefault="00A40917" w:rsidP="00A40917">
            <w:pPr>
              <w:rPr>
                <w:sz w:val="24"/>
                <w:szCs w:val="24"/>
              </w:rPr>
            </w:pPr>
            <w:r w:rsidRPr="008A67E5">
              <w:rPr>
                <w:sz w:val="24"/>
                <w:szCs w:val="24"/>
              </w:rPr>
              <w:t>-0.274***</w:t>
            </w:r>
          </w:p>
        </w:tc>
      </w:tr>
      <w:tr w:rsidR="00A40917" w:rsidRPr="005E78B9" w14:paraId="08E14308" w14:textId="77777777" w:rsidTr="008A67E5">
        <w:trPr>
          <w:trHeight w:val="300"/>
        </w:trPr>
        <w:tc>
          <w:tcPr>
            <w:tcW w:w="0" w:type="auto"/>
            <w:noWrap/>
            <w:hideMark/>
          </w:tcPr>
          <w:p w14:paraId="0A4CCC91" w14:textId="77777777" w:rsidR="00A40917" w:rsidRPr="008A67E5" w:rsidRDefault="00A40917" w:rsidP="00A40917">
            <w:pPr>
              <w:rPr>
                <w:sz w:val="24"/>
                <w:szCs w:val="24"/>
              </w:rPr>
            </w:pPr>
          </w:p>
        </w:tc>
        <w:tc>
          <w:tcPr>
            <w:tcW w:w="0" w:type="auto"/>
            <w:noWrap/>
            <w:hideMark/>
          </w:tcPr>
          <w:p w14:paraId="3F50A008" w14:textId="77777777" w:rsidR="00A40917" w:rsidRPr="008A67E5" w:rsidRDefault="00A40917" w:rsidP="00A40917">
            <w:pPr>
              <w:rPr>
                <w:sz w:val="24"/>
                <w:szCs w:val="24"/>
              </w:rPr>
            </w:pPr>
            <w:r w:rsidRPr="008A67E5">
              <w:rPr>
                <w:sz w:val="24"/>
                <w:szCs w:val="24"/>
              </w:rPr>
              <w:t>(0.025)</w:t>
            </w:r>
          </w:p>
        </w:tc>
        <w:tc>
          <w:tcPr>
            <w:tcW w:w="0" w:type="auto"/>
            <w:noWrap/>
            <w:hideMark/>
          </w:tcPr>
          <w:p w14:paraId="13182614" w14:textId="77777777" w:rsidR="00A40917" w:rsidRPr="008A67E5" w:rsidRDefault="00A40917" w:rsidP="00A40917">
            <w:pPr>
              <w:rPr>
                <w:sz w:val="24"/>
                <w:szCs w:val="24"/>
              </w:rPr>
            </w:pPr>
            <w:r w:rsidRPr="008A67E5">
              <w:rPr>
                <w:sz w:val="24"/>
                <w:szCs w:val="24"/>
              </w:rPr>
              <w:t>(0.038)</w:t>
            </w:r>
          </w:p>
        </w:tc>
        <w:tc>
          <w:tcPr>
            <w:tcW w:w="0" w:type="auto"/>
            <w:noWrap/>
            <w:hideMark/>
          </w:tcPr>
          <w:p w14:paraId="20799892" w14:textId="77777777" w:rsidR="00A40917" w:rsidRPr="008A67E5" w:rsidRDefault="00A40917" w:rsidP="00A40917">
            <w:pPr>
              <w:rPr>
                <w:sz w:val="24"/>
                <w:szCs w:val="24"/>
              </w:rPr>
            </w:pPr>
            <w:r w:rsidRPr="008A67E5">
              <w:rPr>
                <w:sz w:val="24"/>
                <w:szCs w:val="24"/>
              </w:rPr>
              <w:t>(0.013)</w:t>
            </w:r>
          </w:p>
        </w:tc>
        <w:tc>
          <w:tcPr>
            <w:tcW w:w="0" w:type="auto"/>
            <w:noWrap/>
            <w:hideMark/>
          </w:tcPr>
          <w:p w14:paraId="73DEE191" w14:textId="77777777" w:rsidR="00A40917" w:rsidRPr="008A67E5" w:rsidRDefault="00A40917" w:rsidP="00A40917">
            <w:pPr>
              <w:rPr>
                <w:sz w:val="24"/>
                <w:szCs w:val="24"/>
              </w:rPr>
            </w:pPr>
            <w:r w:rsidRPr="008A67E5">
              <w:rPr>
                <w:sz w:val="24"/>
                <w:szCs w:val="24"/>
              </w:rPr>
              <w:t>(0.000)</w:t>
            </w:r>
          </w:p>
        </w:tc>
        <w:tc>
          <w:tcPr>
            <w:tcW w:w="0" w:type="auto"/>
            <w:noWrap/>
            <w:hideMark/>
          </w:tcPr>
          <w:p w14:paraId="48807149" w14:textId="77777777" w:rsidR="00A40917" w:rsidRPr="008A67E5" w:rsidRDefault="00A40917" w:rsidP="00A40917">
            <w:pPr>
              <w:rPr>
                <w:sz w:val="24"/>
                <w:szCs w:val="24"/>
              </w:rPr>
            </w:pPr>
            <w:r w:rsidRPr="008A67E5">
              <w:rPr>
                <w:sz w:val="24"/>
                <w:szCs w:val="24"/>
              </w:rPr>
              <w:t>(0.000)</w:t>
            </w:r>
          </w:p>
        </w:tc>
        <w:tc>
          <w:tcPr>
            <w:tcW w:w="0" w:type="auto"/>
            <w:noWrap/>
            <w:hideMark/>
          </w:tcPr>
          <w:p w14:paraId="0286CFDF" w14:textId="77777777" w:rsidR="00A40917" w:rsidRPr="008A67E5" w:rsidRDefault="00A40917" w:rsidP="00A40917">
            <w:pPr>
              <w:rPr>
                <w:sz w:val="24"/>
                <w:szCs w:val="24"/>
              </w:rPr>
            </w:pPr>
            <w:r w:rsidRPr="008A67E5">
              <w:rPr>
                <w:sz w:val="24"/>
                <w:szCs w:val="24"/>
              </w:rPr>
              <w:t>(0.001)</w:t>
            </w:r>
          </w:p>
        </w:tc>
      </w:tr>
      <w:tr w:rsidR="00A40917" w:rsidRPr="005E78B9" w14:paraId="0945BB5F" w14:textId="77777777" w:rsidTr="008A67E5">
        <w:trPr>
          <w:trHeight w:val="300"/>
        </w:trPr>
        <w:tc>
          <w:tcPr>
            <w:tcW w:w="0" w:type="auto"/>
            <w:noWrap/>
            <w:hideMark/>
          </w:tcPr>
          <w:p w14:paraId="44D5330B" w14:textId="447F7D26" w:rsidR="00A40917" w:rsidRPr="008A67E5" w:rsidRDefault="00A40917" w:rsidP="00A40917">
            <w:pPr>
              <w:rPr>
                <w:sz w:val="24"/>
                <w:szCs w:val="24"/>
              </w:rPr>
            </w:pPr>
            <w:r w:rsidRPr="008A67E5">
              <w:rPr>
                <w:sz w:val="24"/>
                <w:szCs w:val="24"/>
              </w:rPr>
              <w:t>Same Country</w:t>
            </w:r>
          </w:p>
        </w:tc>
        <w:tc>
          <w:tcPr>
            <w:tcW w:w="0" w:type="auto"/>
            <w:noWrap/>
            <w:hideMark/>
          </w:tcPr>
          <w:p w14:paraId="4214131D" w14:textId="77777777" w:rsidR="00A40917" w:rsidRPr="008A67E5" w:rsidRDefault="00A40917" w:rsidP="00A40917">
            <w:pPr>
              <w:rPr>
                <w:sz w:val="24"/>
                <w:szCs w:val="24"/>
              </w:rPr>
            </w:pPr>
            <w:r w:rsidRPr="008A67E5">
              <w:rPr>
                <w:sz w:val="24"/>
                <w:szCs w:val="24"/>
              </w:rPr>
              <w:t>0.045</w:t>
            </w:r>
          </w:p>
        </w:tc>
        <w:tc>
          <w:tcPr>
            <w:tcW w:w="0" w:type="auto"/>
            <w:noWrap/>
            <w:hideMark/>
          </w:tcPr>
          <w:p w14:paraId="172E2032" w14:textId="77777777" w:rsidR="00A40917" w:rsidRPr="008A67E5" w:rsidRDefault="00A40917" w:rsidP="00A40917">
            <w:pPr>
              <w:rPr>
                <w:sz w:val="24"/>
                <w:szCs w:val="24"/>
              </w:rPr>
            </w:pPr>
            <w:r w:rsidRPr="008A67E5">
              <w:rPr>
                <w:sz w:val="24"/>
                <w:szCs w:val="24"/>
              </w:rPr>
              <w:t>-0.019</w:t>
            </w:r>
          </w:p>
        </w:tc>
        <w:tc>
          <w:tcPr>
            <w:tcW w:w="0" w:type="auto"/>
            <w:noWrap/>
            <w:hideMark/>
          </w:tcPr>
          <w:p w14:paraId="5F95DDC7" w14:textId="77777777" w:rsidR="00A40917" w:rsidRPr="008A67E5" w:rsidRDefault="00A40917" w:rsidP="00A40917">
            <w:pPr>
              <w:rPr>
                <w:sz w:val="24"/>
                <w:szCs w:val="24"/>
              </w:rPr>
            </w:pPr>
            <w:r w:rsidRPr="008A67E5">
              <w:rPr>
                <w:sz w:val="24"/>
                <w:szCs w:val="24"/>
              </w:rPr>
              <w:t>-0.135*</w:t>
            </w:r>
          </w:p>
        </w:tc>
        <w:tc>
          <w:tcPr>
            <w:tcW w:w="0" w:type="auto"/>
            <w:noWrap/>
            <w:hideMark/>
          </w:tcPr>
          <w:p w14:paraId="1369FD4D" w14:textId="77777777" w:rsidR="00A40917" w:rsidRPr="008A67E5" w:rsidRDefault="00A40917" w:rsidP="00A40917">
            <w:pPr>
              <w:rPr>
                <w:sz w:val="24"/>
                <w:szCs w:val="24"/>
              </w:rPr>
            </w:pPr>
            <w:r w:rsidRPr="008A67E5">
              <w:rPr>
                <w:sz w:val="24"/>
                <w:szCs w:val="24"/>
              </w:rPr>
              <w:t>-0.108</w:t>
            </w:r>
          </w:p>
        </w:tc>
        <w:tc>
          <w:tcPr>
            <w:tcW w:w="0" w:type="auto"/>
            <w:noWrap/>
            <w:hideMark/>
          </w:tcPr>
          <w:p w14:paraId="64273CED" w14:textId="77777777" w:rsidR="00A40917" w:rsidRPr="008A67E5" w:rsidRDefault="00A40917" w:rsidP="00A40917">
            <w:pPr>
              <w:rPr>
                <w:sz w:val="24"/>
                <w:szCs w:val="24"/>
              </w:rPr>
            </w:pPr>
            <w:r w:rsidRPr="008A67E5">
              <w:rPr>
                <w:sz w:val="24"/>
                <w:szCs w:val="24"/>
              </w:rPr>
              <w:t>-0.020</w:t>
            </w:r>
          </w:p>
        </w:tc>
        <w:tc>
          <w:tcPr>
            <w:tcW w:w="0" w:type="auto"/>
            <w:noWrap/>
            <w:hideMark/>
          </w:tcPr>
          <w:p w14:paraId="505934A7" w14:textId="77777777" w:rsidR="00A40917" w:rsidRPr="008A67E5" w:rsidRDefault="00A40917" w:rsidP="00A40917">
            <w:pPr>
              <w:rPr>
                <w:sz w:val="24"/>
                <w:szCs w:val="24"/>
              </w:rPr>
            </w:pPr>
            <w:r w:rsidRPr="008A67E5">
              <w:rPr>
                <w:sz w:val="24"/>
                <w:szCs w:val="24"/>
              </w:rPr>
              <w:t>-0.095</w:t>
            </w:r>
          </w:p>
        </w:tc>
      </w:tr>
      <w:tr w:rsidR="00A40917" w:rsidRPr="005E78B9" w14:paraId="52168348" w14:textId="77777777" w:rsidTr="008A67E5">
        <w:trPr>
          <w:trHeight w:val="300"/>
        </w:trPr>
        <w:tc>
          <w:tcPr>
            <w:tcW w:w="0" w:type="auto"/>
            <w:tcBorders>
              <w:bottom w:val="single" w:sz="4" w:space="0" w:color="auto"/>
            </w:tcBorders>
            <w:noWrap/>
            <w:hideMark/>
          </w:tcPr>
          <w:p w14:paraId="5331D0AD" w14:textId="77777777" w:rsidR="00A40917" w:rsidRPr="008A67E5" w:rsidRDefault="00A40917" w:rsidP="00A40917">
            <w:pPr>
              <w:rPr>
                <w:sz w:val="24"/>
                <w:szCs w:val="24"/>
              </w:rPr>
            </w:pPr>
          </w:p>
        </w:tc>
        <w:tc>
          <w:tcPr>
            <w:tcW w:w="0" w:type="auto"/>
            <w:tcBorders>
              <w:bottom w:val="single" w:sz="4" w:space="0" w:color="auto"/>
            </w:tcBorders>
            <w:noWrap/>
            <w:hideMark/>
          </w:tcPr>
          <w:p w14:paraId="391F5A49" w14:textId="77777777" w:rsidR="00A40917" w:rsidRPr="008A67E5" w:rsidRDefault="00A40917" w:rsidP="00A40917">
            <w:pPr>
              <w:rPr>
                <w:sz w:val="24"/>
                <w:szCs w:val="24"/>
              </w:rPr>
            </w:pPr>
            <w:r w:rsidRPr="008A67E5">
              <w:rPr>
                <w:sz w:val="24"/>
                <w:szCs w:val="24"/>
              </w:rPr>
              <w:t>(0.584)</w:t>
            </w:r>
          </w:p>
        </w:tc>
        <w:tc>
          <w:tcPr>
            <w:tcW w:w="0" w:type="auto"/>
            <w:tcBorders>
              <w:bottom w:val="single" w:sz="4" w:space="0" w:color="auto"/>
            </w:tcBorders>
            <w:noWrap/>
            <w:hideMark/>
          </w:tcPr>
          <w:p w14:paraId="02D76968" w14:textId="77777777" w:rsidR="00A40917" w:rsidRPr="008A67E5" w:rsidRDefault="00A40917" w:rsidP="00A40917">
            <w:pPr>
              <w:rPr>
                <w:sz w:val="24"/>
                <w:szCs w:val="24"/>
              </w:rPr>
            </w:pPr>
            <w:r w:rsidRPr="008A67E5">
              <w:rPr>
                <w:sz w:val="24"/>
                <w:szCs w:val="24"/>
              </w:rPr>
              <w:t>(0.837)</w:t>
            </w:r>
          </w:p>
        </w:tc>
        <w:tc>
          <w:tcPr>
            <w:tcW w:w="0" w:type="auto"/>
            <w:tcBorders>
              <w:bottom w:val="single" w:sz="4" w:space="0" w:color="auto"/>
            </w:tcBorders>
            <w:noWrap/>
            <w:hideMark/>
          </w:tcPr>
          <w:p w14:paraId="1CF367D1" w14:textId="77777777" w:rsidR="00A40917" w:rsidRPr="008A67E5" w:rsidRDefault="00A40917" w:rsidP="00A40917">
            <w:pPr>
              <w:rPr>
                <w:sz w:val="24"/>
                <w:szCs w:val="24"/>
              </w:rPr>
            </w:pPr>
            <w:r w:rsidRPr="008A67E5">
              <w:rPr>
                <w:sz w:val="24"/>
                <w:szCs w:val="24"/>
              </w:rPr>
              <w:t>(0.085)</w:t>
            </w:r>
          </w:p>
        </w:tc>
        <w:tc>
          <w:tcPr>
            <w:tcW w:w="0" w:type="auto"/>
            <w:tcBorders>
              <w:bottom w:val="single" w:sz="4" w:space="0" w:color="auto"/>
            </w:tcBorders>
            <w:noWrap/>
            <w:hideMark/>
          </w:tcPr>
          <w:p w14:paraId="40E276C6" w14:textId="77777777" w:rsidR="00A40917" w:rsidRPr="008A67E5" w:rsidRDefault="00A40917" w:rsidP="00A40917">
            <w:pPr>
              <w:rPr>
                <w:sz w:val="24"/>
                <w:szCs w:val="24"/>
              </w:rPr>
            </w:pPr>
            <w:r w:rsidRPr="008A67E5">
              <w:rPr>
                <w:sz w:val="24"/>
                <w:szCs w:val="24"/>
              </w:rPr>
              <w:t>(0.177)</w:t>
            </w:r>
          </w:p>
        </w:tc>
        <w:tc>
          <w:tcPr>
            <w:tcW w:w="0" w:type="auto"/>
            <w:tcBorders>
              <w:bottom w:val="single" w:sz="4" w:space="0" w:color="auto"/>
            </w:tcBorders>
            <w:noWrap/>
            <w:hideMark/>
          </w:tcPr>
          <w:p w14:paraId="4AF35D1A" w14:textId="77777777" w:rsidR="00A40917" w:rsidRPr="008A67E5" w:rsidRDefault="00A40917" w:rsidP="00A40917">
            <w:pPr>
              <w:rPr>
                <w:sz w:val="24"/>
                <w:szCs w:val="24"/>
              </w:rPr>
            </w:pPr>
            <w:r w:rsidRPr="008A67E5">
              <w:rPr>
                <w:sz w:val="24"/>
                <w:szCs w:val="24"/>
              </w:rPr>
              <w:t>(0.862)</w:t>
            </w:r>
          </w:p>
        </w:tc>
        <w:tc>
          <w:tcPr>
            <w:tcW w:w="0" w:type="auto"/>
            <w:tcBorders>
              <w:bottom w:val="single" w:sz="4" w:space="0" w:color="auto"/>
            </w:tcBorders>
            <w:noWrap/>
            <w:hideMark/>
          </w:tcPr>
          <w:p w14:paraId="754779BF" w14:textId="77777777" w:rsidR="00A40917" w:rsidRPr="008A67E5" w:rsidRDefault="00A40917" w:rsidP="00A40917">
            <w:pPr>
              <w:rPr>
                <w:sz w:val="24"/>
                <w:szCs w:val="24"/>
              </w:rPr>
            </w:pPr>
            <w:r w:rsidRPr="008A67E5">
              <w:rPr>
                <w:sz w:val="24"/>
                <w:szCs w:val="24"/>
              </w:rPr>
              <w:t>(0.428)</w:t>
            </w:r>
          </w:p>
        </w:tc>
      </w:tr>
      <w:tr w:rsidR="00A40917" w:rsidRPr="005E78B9" w14:paraId="114F03E9" w14:textId="77777777" w:rsidTr="008A67E5">
        <w:trPr>
          <w:trHeight w:val="300"/>
        </w:trPr>
        <w:tc>
          <w:tcPr>
            <w:tcW w:w="0" w:type="auto"/>
            <w:tcBorders>
              <w:top w:val="single" w:sz="4" w:space="0" w:color="auto"/>
            </w:tcBorders>
            <w:noWrap/>
            <w:hideMark/>
          </w:tcPr>
          <w:p w14:paraId="44B73467" w14:textId="5DF9F7B0" w:rsidR="00A40917" w:rsidRPr="008A67E5" w:rsidRDefault="00A40917" w:rsidP="00A40917">
            <w:pPr>
              <w:rPr>
                <w:sz w:val="24"/>
                <w:szCs w:val="24"/>
              </w:rPr>
            </w:pPr>
            <w:r w:rsidRPr="008A67E5">
              <w:rPr>
                <w:sz w:val="24"/>
                <w:szCs w:val="24"/>
              </w:rPr>
              <w:t>N</w:t>
            </w:r>
          </w:p>
        </w:tc>
        <w:tc>
          <w:tcPr>
            <w:tcW w:w="0" w:type="auto"/>
            <w:tcBorders>
              <w:top w:val="single" w:sz="4" w:space="0" w:color="auto"/>
            </w:tcBorders>
            <w:noWrap/>
            <w:hideMark/>
          </w:tcPr>
          <w:p w14:paraId="436225B0" w14:textId="77777777" w:rsidR="00A40917" w:rsidRPr="008A67E5" w:rsidRDefault="00A40917" w:rsidP="00A40917">
            <w:pPr>
              <w:rPr>
                <w:sz w:val="24"/>
                <w:szCs w:val="24"/>
              </w:rPr>
            </w:pPr>
            <w:r w:rsidRPr="008A67E5">
              <w:rPr>
                <w:sz w:val="24"/>
                <w:szCs w:val="24"/>
              </w:rPr>
              <w:t>664</w:t>
            </w:r>
          </w:p>
        </w:tc>
        <w:tc>
          <w:tcPr>
            <w:tcW w:w="0" w:type="auto"/>
            <w:tcBorders>
              <w:top w:val="single" w:sz="4" w:space="0" w:color="auto"/>
            </w:tcBorders>
            <w:noWrap/>
            <w:hideMark/>
          </w:tcPr>
          <w:p w14:paraId="274CBBB6" w14:textId="77777777" w:rsidR="00A40917" w:rsidRPr="008A67E5" w:rsidRDefault="00A40917" w:rsidP="00A40917">
            <w:pPr>
              <w:rPr>
                <w:sz w:val="24"/>
                <w:szCs w:val="24"/>
              </w:rPr>
            </w:pPr>
            <w:r w:rsidRPr="008A67E5">
              <w:rPr>
                <w:sz w:val="24"/>
                <w:szCs w:val="24"/>
              </w:rPr>
              <w:t>728</w:t>
            </w:r>
          </w:p>
        </w:tc>
        <w:tc>
          <w:tcPr>
            <w:tcW w:w="0" w:type="auto"/>
            <w:tcBorders>
              <w:top w:val="single" w:sz="4" w:space="0" w:color="auto"/>
            </w:tcBorders>
            <w:noWrap/>
            <w:hideMark/>
          </w:tcPr>
          <w:p w14:paraId="45CA08BD" w14:textId="77777777" w:rsidR="00A40917" w:rsidRPr="008A67E5" w:rsidRDefault="00A40917" w:rsidP="00A40917">
            <w:pPr>
              <w:rPr>
                <w:sz w:val="24"/>
                <w:szCs w:val="24"/>
              </w:rPr>
            </w:pPr>
            <w:r w:rsidRPr="008A67E5">
              <w:rPr>
                <w:sz w:val="24"/>
                <w:szCs w:val="24"/>
              </w:rPr>
              <w:t>958</w:t>
            </w:r>
          </w:p>
        </w:tc>
        <w:tc>
          <w:tcPr>
            <w:tcW w:w="0" w:type="auto"/>
            <w:tcBorders>
              <w:top w:val="single" w:sz="4" w:space="0" w:color="auto"/>
            </w:tcBorders>
            <w:noWrap/>
            <w:hideMark/>
          </w:tcPr>
          <w:p w14:paraId="72BE0968" w14:textId="77777777" w:rsidR="00A40917" w:rsidRPr="008A67E5" w:rsidRDefault="00A40917" w:rsidP="00A40917">
            <w:pPr>
              <w:rPr>
                <w:sz w:val="24"/>
                <w:szCs w:val="24"/>
              </w:rPr>
            </w:pPr>
            <w:r w:rsidRPr="008A67E5">
              <w:rPr>
                <w:sz w:val="24"/>
                <w:szCs w:val="24"/>
              </w:rPr>
              <w:t>964</w:t>
            </w:r>
          </w:p>
        </w:tc>
        <w:tc>
          <w:tcPr>
            <w:tcW w:w="0" w:type="auto"/>
            <w:tcBorders>
              <w:top w:val="single" w:sz="4" w:space="0" w:color="auto"/>
            </w:tcBorders>
            <w:noWrap/>
            <w:hideMark/>
          </w:tcPr>
          <w:p w14:paraId="7F7BD74F" w14:textId="77777777" w:rsidR="00A40917" w:rsidRPr="008A67E5" w:rsidRDefault="00A40917" w:rsidP="00A40917">
            <w:pPr>
              <w:rPr>
                <w:sz w:val="24"/>
                <w:szCs w:val="24"/>
              </w:rPr>
            </w:pPr>
            <w:r w:rsidRPr="008A67E5">
              <w:rPr>
                <w:sz w:val="24"/>
                <w:szCs w:val="24"/>
              </w:rPr>
              <w:t>946</w:t>
            </w:r>
          </w:p>
        </w:tc>
        <w:tc>
          <w:tcPr>
            <w:tcW w:w="0" w:type="auto"/>
            <w:tcBorders>
              <w:top w:val="single" w:sz="4" w:space="0" w:color="auto"/>
            </w:tcBorders>
            <w:noWrap/>
            <w:hideMark/>
          </w:tcPr>
          <w:p w14:paraId="4CFFEDB5" w14:textId="77777777" w:rsidR="00A40917" w:rsidRPr="008A67E5" w:rsidRDefault="00A40917" w:rsidP="00A40917">
            <w:pPr>
              <w:rPr>
                <w:sz w:val="24"/>
                <w:szCs w:val="24"/>
              </w:rPr>
            </w:pPr>
            <w:r w:rsidRPr="008A67E5">
              <w:rPr>
                <w:sz w:val="24"/>
                <w:szCs w:val="24"/>
              </w:rPr>
              <w:t>946</w:t>
            </w:r>
          </w:p>
        </w:tc>
      </w:tr>
      <w:tr w:rsidR="00A40917" w:rsidRPr="005E78B9" w14:paraId="402DC5A5" w14:textId="77777777" w:rsidTr="008A67E5">
        <w:trPr>
          <w:trHeight w:val="300"/>
        </w:trPr>
        <w:tc>
          <w:tcPr>
            <w:tcW w:w="0" w:type="auto"/>
            <w:tcBorders>
              <w:bottom w:val="single" w:sz="4" w:space="0" w:color="auto"/>
            </w:tcBorders>
            <w:noWrap/>
            <w:hideMark/>
          </w:tcPr>
          <w:p w14:paraId="1F55BC3E" w14:textId="6927E055" w:rsidR="00A40917" w:rsidRPr="008A67E5" w:rsidRDefault="00A40917" w:rsidP="00A40917">
            <w:pPr>
              <w:rPr>
                <w:sz w:val="24"/>
                <w:szCs w:val="24"/>
              </w:rPr>
            </w:pPr>
            <w:r w:rsidRPr="008A67E5">
              <w:rPr>
                <w:sz w:val="24"/>
                <w:szCs w:val="24"/>
              </w:rPr>
              <w:t>R2</w:t>
            </w:r>
          </w:p>
        </w:tc>
        <w:tc>
          <w:tcPr>
            <w:tcW w:w="0" w:type="auto"/>
            <w:tcBorders>
              <w:bottom w:val="single" w:sz="4" w:space="0" w:color="auto"/>
            </w:tcBorders>
            <w:noWrap/>
            <w:hideMark/>
          </w:tcPr>
          <w:p w14:paraId="37234BA6" w14:textId="77777777" w:rsidR="00A40917" w:rsidRPr="008A67E5" w:rsidRDefault="00A40917" w:rsidP="00A40917">
            <w:pPr>
              <w:rPr>
                <w:sz w:val="24"/>
                <w:szCs w:val="24"/>
              </w:rPr>
            </w:pPr>
            <w:r w:rsidRPr="008A67E5">
              <w:rPr>
                <w:sz w:val="24"/>
                <w:szCs w:val="24"/>
              </w:rPr>
              <w:t>0.809</w:t>
            </w:r>
          </w:p>
        </w:tc>
        <w:tc>
          <w:tcPr>
            <w:tcW w:w="0" w:type="auto"/>
            <w:tcBorders>
              <w:bottom w:val="single" w:sz="4" w:space="0" w:color="auto"/>
            </w:tcBorders>
            <w:noWrap/>
            <w:hideMark/>
          </w:tcPr>
          <w:p w14:paraId="6019F0D3" w14:textId="77777777" w:rsidR="00A40917" w:rsidRPr="008A67E5" w:rsidRDefault="00A40917" w:rsidP="00A40917">
            <w:pPr>
              <w:rPr>
                <w:sz w:val="24"/>
                <w:szCs w:val="24"/>
              </w:rPr>
            </w:pPr>
            <w:r w:rsidRPr="008A67E5">
              <w:rPr>
                <w:sz w:val="24"/>
                <w:szCs w:val="24"/>
              </w:rPr>
              <w:t>0.795</w:t>
            </w:r>
          </w:p>
        </w:tc>
        <w:tc>
          <w:tcPr>
            <w:tcW w:w="0" w:type="auto"/>
            <w:tcBorders>
              <w:bottom w:val="single" w:sz="4" w:space="0" w:color="auto"/>
            </w:tcBorders>
            <w:noWrap/>
            <w:hideMark/>
          </w:tcPr>
          <w:p w14:paraId="5E38C078" w14:textId="77777777" w:rsidR="00A40917" w:rsidRPr="008A67E5" w:rsidRDefault="00A40917" w:rsidP="00A40917">
            <w:pPr>
              <w:rPr>
                <w:sz w:val="24"/>
                <w:szCs w:val="24"/>
              </w:rPr>
            </w:pPr>
            <w:r w:rsidRPr="008A67E5">
              <w:rPr>
                <w:sz w:val="24"/>
                <w:szCs w:val="24"/>
              </w:rPr>
              <w:t>0.689</w:t>
            </w:r>
          </w:p>
        </w:tc>
        <w:tc>
          <w:tcPr>
            <w:tcW w:w="0" w:type="auto"/>
            <w:tcBorders>
              <w:bottom w:val="single" w:sz="4" w:space="0" w:color="auto"/>
            </w:tcBorders>
            <w:noWrap/>
            <w:hideMark/>
          </w:tcPr>
          <w:p w14:paraId="423C9210" w14:textId="77777777" w:rsidR="00A40917" w:rsidRPr="008A67E5" w:rsidRDefault="00A40917" w:rsidP="00A40917">
            <w:pPr>
              <w:rPr>
                <w:sz w:val="24"/>
                <w:szCs w:val="24"/>
              </w:rPr>
            </w:pPr>
            <w:r w:rsidRPr="008A67E5">
              <w:rPr>
                <w:sz w:val="24"/>
                <w:szCs w:val="24"/>
              </w:rPr>
              <w:t>0.598</w:t>
            </w:r>
          </w:p>
        </w:tc>
        <w:tc>
          <w:tcPr>
            <w:tcW w:w="0" w:type="auto"/>
            <w:tcBorders>
              <w:bottom w:val="single" w:sz="4" w:space="0" w:color="auto"/>
            </w:tcBorders>
            <w:noWrap/>
            <w:hideMark/>
          </w:tcPr>
          <w:p w14:paraId="28BC3AD1" w14:textId="77777777" w:rsidR="00A40917" w:rsidRPr="008A67E5" w:rsidRDefault="00A40917" w:rsidP="00A40917">
            <w:pPr>
              <w:rPr>
                <w:sz w:val="24"/>
                <w:szCs w:val="24"/>
              </w:rPr>
            </w:pPr>
            <w:r w:rsidRPr="008A67E5">
              <w:rPr>
                <w:sz w:val="24"/>
                <w:szCs w:val="24"/>
              </w:rPr>
              <w:t>0.502</w:t>
            </w:r>
          </w:p>
        </w:tc>
        <w:tc>
          <w:tcPr>
            <w:tcW w:w="0" w:type="auto"/>
            <w:tcBorders>
              <w:bottom w:val="single" w:sz="4" w:space="0" w:color="auto"/>
            </w:tcBorders>
            <w:noWrap/>
            <w:hideMark/>
          </w:tcPr>
          <w:p w14:paraId="582936F2" w14:textId="77777777" w:rsidR="00A40917" w:rsidRPr="008A67E5" w:rsidRDefault="00A40917" w:rsidP="00A40917">
            <w:pPr>
              <w:rPr>
                <w:sz w:val="24"/>
                <w:szCs w:val="24"/>
              </w:rPr>
            </w:pPr>
            <w:r w:rsidRPr="008A67E5">
              <w:rPr>
                <w:sz w:val="24"/>
                <w:szCs w:val="24"/>
              </w:rPr>
              <w:t>0.535</w:t>
            </w:r>
          </w:p>
        </w:tc>
      </w:tr>
    </w:tbl>
    <w:p w14:paraId="4AAF5B7F" w14:textId="07A30D81" w:rsidR="00425F37" w:rsidRPr="008A67E5" w:rsidRDefault="00425F37" w:rsidP="008A67E5">
      <w:pPr>
        <w:rPr>
          <w:sz w:val="24"/>
          <w:szCs w:val="24"/>
        </w:rPr>
      </w:pPr>
      <w:r w:rsidRPr="008A67E5">
        <w:rPr>
          <w:sz w:val="24"/>
          <w:szCs w:val="24"/>
        </w:rPr>
        <w:t xml:space="preserve"> </w:t>
      </w:r>
      <w:r w:rsidR="00A673D9" w:rsidRPr="008A67E5">
        <w:rPr>
          <w:i/>
          <w:sz w:val="24"/>
          <w:szCs w:val="24"/>
        </w:rPr>
        <w:t>Source: Authors’ calculations.</w:t>
      </w:r>
    </w:p>
    <w:p w14:paraId="5E1633CA" w14:textId="77777777" w:rsidR="00F01357" w:rsidRPr="008A67E5" w:rsidRDefault="00A673D9" w:rsidP="008A67E5">
      <w:pPr>
        <w:jc w:val="both"/>
        <w:rPr>
          <w:sz w:val="24"/>
          <w:szCs w:val="24"/>
        </w:rPr>
      </w:pPr>
      <w:r w:rsidRPr="008A67E5">
        <w:rPr>
          <w:sz w:val="24"/>
          <w:szCs w:val="24"/>
        </w:rPr>
        <w:t xml:space="preserve">Table 3 presents results for the two remaining sectors, namely financial services and business services. </w:t>
      </w:r>
      <w:r w:rsidR="00F01357" w:rsidRPr="008A67E5">
        <w:rPr>
          <w:sz w:val="24"/>
          <w:szCs w:val="24"/>
        </w:rPr>
        <w:t xml:space="preserve">For financial services, the gravity model control variables all have parameters with the expected signs, magnitudes, and statistical significance. In business services, by contrast, it is only distance (both models) and the same country dummy (intermediate trade) that are statistically significant, although all parameters have the expected signs and magnitudes; the common language dummy is marginally significant in the intermediate trade model (prob. = 0.104). </w:t>
      </w:r>
    </w:p>
    <w:p w14:paraId="3603AFA7" w14:textId="5A38B273" w:rsidR="00A673D9" w:rsidRPr="008A67E5" w:rsidRDefault="00F01357" w:rsidP="008A67E5">
      <w:pPr>
        <w:jc w:val="both"/>
        <w:rPr>
          <w:sz w:val="24"/>
          <w:szCs w:val="24"/>
        </w:rPr>
      </w:pPr>
      <w:r w:rsidRPr="008A67E5">
        <w:rPr>
          <w:sz w:val="24"/>
          <w:szCs w:val="24"/>
        </w:rPr>
        <w:t xml:space="preserve">Results for the STRI are also very different from one sector to the other. For financial services, the relevant parameter is only correctly signed in the intermediate trade regression, and it is significant at the 15% level, but not the 10% level that is standard. By contrast, the STRI coefficient is correctly signed, of appropriate magnitude, and highly statistically significant in both business services models. Indeed, the coefficients for business services are the largest observed for any sector. Interestingly, the coefficient for intermediate trade is more than twice as large as the coefficient for final trade, and the difference </w:t>
      </w:r>
      <w:r w:rsidR="00940726" w:rsidRPr="008A67E5">
        <w:rPr>
          <w:sz w:val="24"/>
          <w:szCs w:val="24"/>
        </w:rPr>
        <w:t>is marginally statistically significant at the 10% level. In the case of business services, there is therefore weak evidence that trade barriers in services have more of a negative effect on trade in intermediate services than on trade in final services.</w:t>
      </w:r>
    </w:p>
    <w:p w14:paraId="6E1C6070" w14:textId="59BF30AC" w:rsidR="00940726" w:rsidRPr="008A67E5" w:rsidRDefault="00940726" w:rsidP="008A67E5">
      <w:pPr>
        <w:jc w:val="both"/>
        <w:rPr>
          <w:sz w:val="24"/>
          <w:szCs w:val="24"/>
        </w:rPr>
      </w:pPr>
      <w:r w:rsidRPr="008A67E5">
        <w:rPr>
          <w:sz w:val="24"/>
          <w:szCs w:val="24"/>
        </w:rPr>
        <w:lastRenderedPageBreak/>
        <w:t>In terms of data “fit”, the case of financial services is similar to that of distribution services, discussed above. Although there are pure policy restrictions that affect trade in financial services, there are also issues of competition policy and broader behind-the-border regulatory stance that affect foreign firms’ ability to do business in a given market. In addition, the STRI captures a certain number of restrictions that are more relevant to retail financial services than to wholesale financial services. It therefore seems plausible that data reliability at least partly explains the lack of statistically significant results for finance, which at first glance seems surprising given the strong results in business services, another sector that is highly internationalized.</w:t>
      </w:r>
    </w:p>
    <w:p w14:paraId="257C411A" w14:textId="0AC3420C" w:rsidR="00A673D9" w:rsidRPr="008A67E5" w:rsidRDefault="00A673D9" w:rsidP="008A67E5">
      <w:pPr>
        <w:pStyle w:val="Caption"/>
        <w:keepNext/>
        <w:rPr>
          <w:sz w:val="24"/>
          <w:szCs w:val="24"/>
        </w:rPr>
      </w:pPr>
      <w:r w:rsidRPr="008A67E5">
        <w:rPr>
          <w:sz w:val="24"/>
          <w:szCs w:val="24"/>
        </w:rPr>
        <w:t xml:space="preserve">Table </w:t>
      </w:r>
      <w:r w:rsidRPr="008A67E5">
        <w:rPr>
          <w:sz w:val="24"/>
          <w:szCs w:val="24"/>
        </w:rPr>
        <w:fldChar w:fldCharType="begin"/>
      </w:r>
      <w:r w:rsidRPr="008A67E5">
        <w:rPr>
          <w:sz w:val="24"/>
          <w:szCs w:val="24"/>
        </w:rPr>
        <w:instrText xml:space="preserve"> SEQ Table \* ARABIC </w:instrText>
      </w:r>
      <w:r w:rsidRPr="008A67E5">
        <w:rPr>
          <w:sz w:val="24"/>
          <w:szCs w:val="24"/>
        </w:rPr>
        <w:fldChar w:fldCharType="separate"/>
      </w:r>
      <w:r w:rsidR="006E58BD">
        <w:rPr>
          <w:noProof/>
          <w:sz w:val="24"/>
          <w:szCs w:val="24"/>
        </w:rPr>
        <w:t>3</w:t>
      </w:r>
      <w:r w:rsidRPr="008A67E5">
        <w:rPr>
          <w:sz w:val="24"/>
          <w:szCs w:val="24"/>
        </w:rPr>
        <w:fldChar w:fldCharType="end"/>
      </w:r>
      <w:r w:rsidRPr="008A67E5">
        <w:rPr>
          <w:sz w:val="24"/>
          <w:szCs w:val="24"/>
        </w:rPr>
        <w:t>: Regression results for the sectoral models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122"/>
        <w:gridCol w:w="1874"/>
        <w:gridCol w:w="1127"/>
        <w:gridCol w:w="1943"/>
      </w:tblGrid>
      <w:tr w:rsidR="00A673D9" w:rsidRPr="005E78B9" w14:paraId="6E845266" w14:textId="77777777" w:rsidTr="00A673D9">
        <w:trPr>
          <w:trHeight w:val="300"/>
        </w:trPr>
        <w:tc>
          <w:tcPr>
            <w:tcW w:w="0" w:type="auto"/>
            <w:tcBorders>
              <w:top w:val="single" w:sz="4" w:space="0" w:color="auto"/>
              <w:bottom w:val="single" w:sz="4" w:space="0" w:color="auto"/>
            </w:tcBorders>
            <w:noWrap/>
            <w:hideMark/>
          </w:tcPr>
          <w:p w14:paraId="66CA2511" w14:textId="77777777" w:rsidR="00A673D9" w:rsidRPr="008A67E5" w:rsidRDefault="00A673D9">
            <w:pPr>
              <w:rPr>
                <w:sz w:val="24"/>
                <w:szCs w:val="24"/>
              </w:rPr>
            </w:pPr>
          </w:p>
        </w:tc>
        <w:tc>
          <w:tcPr>
            <w:tcW w:w="0" w:type="auto"/>
            <w:tcBorders>
              <w:top w:val="single" w:sz="4" w:space="0" w:color="auto"/>
              <w:bottom w:val="single" w:sz="4" w:space="0" w:color="auto"/>
            </w:tcBorders>
            <w:noWrap/>
            <w:hideMark/>
          </w:tcPr>
          <w:p w14:paraId="73FCF5F5" w14:textId="77777777" w:rsidR="00A673D9" w:rsidRPr="008A67E5" w:rsidRDefault="00A673D9">
            <w:pPr>
              <w:rPr>
                <w:sz w:val="24"/>
                <w:szCs w:val="24"/>
              </w:rPr>
            </w:pPr>
            <w:r w:rsidRPr="008A67E5">
              <w:rPr>
                <w:sz w:val="24"/>
                <w:szCs w:val="24"/>
              </w:rPr>
              <w:t>(1)</w:t>
            </w:r>
          </w:p>
        </w:tc>
        <w:tc>
          <w:tcPr>
            <w:tcW w:w="0" w:type="auto"/>
            <w:tcBorders>
              <w:top w:val="single" w:sz="4" w:space="0" w:color="auto"/>
              <w:bottom w:val="single" w:sz="4" w:space="0" w:color="auto"/>
            </w:tcBorders>
            <w:noWrap/>
            <w:hideMark/>
          </w:tcPr>
          <w:p w14:paraId="4A74B0B7" w14:textId="77777777" w:rsidR="00A673D9" w:rsidRPr="008A67E5" w:rsidRDefault="00A673D9">
            <w:pPr>
              <w:rPr>
                <w:sz w:val="24"/>
                <w:szCs w:val="24"/>
              </w:rPr>
            </w:pPr>
            <w:r w:rsidRPr="008A67E5">
              <w:rPr>
                <w:sz w:val="24"/>
                <w:szCs w:val="24"/>
              </w:rPr>
              <w:t>(2)</w:t>
            </w:r>
          </w:p>
        </w:tc>
        <w:tc>
          <w:tcPr>
            <w:tcW w:w="0" w:type="auto"/>
            <w:tcBorders>
              <w:top w:val="single" w:sz="4" w:space="0" w:color="auto"/>
              <w:bottom w:val="single" w:sz="4" w:space="0" w:color="auto"/>
            </w:tcBorders>
            <w:noWrap/>
            <w:hideMark/>
          </w:tcPr>
          <w:p w14:paraId="79AC27EE" w14:textId="77777777" w:rsidR="00A673D9" w:rsidRPr="008A67E5" w:rsidRDefault="00A673D9">
            <w:pPr>
              <w:rPr>
                <w:sz w:val="24"/>
                <w:szCs w:val="24"/>
              </w:rPr>
            </w:pPr>
            <w:r w:rsidRPr="008A67E5">
              <w:rPr>
                <w:sz w:val="24"/>
                <w:szCs w:val="24"/>
              </w:rPr>
              <w:t>(3)</w:t>
            </w:r>
          </w:p>
        </w:tc>
        <w:tc>
          <w:tcPr>
            <w:tcW w:w="0" w:type="auto"/>
            <w:tcBorders>
              <w:top w:val="single" w:sz="4" w:space="0" w:color="auto"/>
              <w:bottom w:val="single" w:sz="4" w:space="0" w:color="auto"/>
            </w:tcBorders>
            <w:noWrap/>
            <w:hideMark/>
          </w:tcPr>
          <w:p w14:paraId="5C84D24A" w14:textId="77777777" w:rsidR="00A673D9" w:rsidRPr="008A67E5" w:rsidRDefault="00A673D9">
            <w:pPr>
              <w:rPr>
                <w:sz w:val="24"/>
                <w:szCs w:val="24"/>
              </w:rPr>
            </w:pPr>
            <w:r w:rsidRPr="008A67E5">
              <w:rPr>
                <w:sz w:val="24"/>
                <w:szCs w:val="24"/>
              </w:rPr>
              <w:t>(4)</w:t>
            </w:r>
          </w:p>
        </w:tc>
      </w:tr>
      <w:tr w:rsidR="00A673D9" w:rsidRPr="005E78B9" w14:paraId="4F71D3BA" w14:textId="77777777" w:rsidTr="00A673D9">
        <w:trPr>
          <w:trHeight w:val="300"/>
        </w:trPr>
        <w:tc>
          <w:tcPr>
            <w:tcW w:w="0" w:type="auto"/>
            <w:tcBorders>
              <w:top w:val="single" w:sz="4" w:space="0" w:color="auto"/>
            </w:tcBorders>
            <w:noWrap/>
            <w:hideMark/>
          </w:tcPr>
          <w:p w14:paraId="6559F403" w14:textId="77777777" w:rsidR="00A673D9" w:rsidRPr="008A67E5" w:rsidRDefault="00A673D9">
            <w:pPr>
              <w:rPr>
                <w:sz w:val="24"/>
                <w:szCs w:val="24"/>
              </w:rPr>
            </w:pPr>
          </w:p>
        </w:tc>
        <w:tc>
          <w:tcPr>
            <w:tcW w:w="0" w:type="auto"/>
            <w:tcBorders>
              <w:top w:val="single" w:sz="4" w:space="0" w:color="auto"/>
            </w:tcBorders>
            <w:noWrap/>
            <w:hideMark/>
          </w:tcPr>
          <w:p w14:paraId="46F2F2BA" w14:textId="77777777" w:rsidR="00A673D9" w:rsidRPr="008A67E5" w:rsidRDefault="00A673D9">
            <w:pPr>
              <w:rPr>
                <w:sz w:val="24"/>
                <w:szCs w:val="24"/>
              </w:rPr>
            </w:pPr>
            <w:r w:rsidRPr="008A67E5">
              <w:rPr>
                <w:sz w:val="24"/>
                <w:szCs w:val="24"/>
              </w:rPr>
              <w:t>FIN Final</w:t>
            </w:r>
          </w:p>
        </w:tc>
        <w:tc>
          <w:tcPr>
            <w:tcW w:w="0" w:type="auto"/>
            <w:tcBorders>
              <w:top w:val="single" w:sz="4" w:space="0" w:color="auto"/>
            </w:tcBorders>
            <w:noWrap/>
            <w:hideMark/>
          </w:tcPr>
          <w:p w14:paraId="7156A907" w14:textId="77777777" w:rsidR="00A673D9" w:rsidRPr="008A67E5" w:rsidRDefault="00A673D9">
            <w:pPr>
              <w:rPr>
                <w:sz w:val="24"/>
                <w:szCs w:val="24"/>
              </w:rPr>
            </w:pPr>
            <w:r w:rsidRPr="008A67E5">
              <w:rPr>
                <w:sz w:val="24"/>
                <w:szCs w:val="24"/>
              </w:rPr>
              <w:t>FIN Intermediate</w:t>
            </w:r>
          </w:p>
        </w:tc>
        <w:tc>
          <w:tcPr>
            <w:tcW w:w="0" w:type="auto"/>
            <w:tcBorders>
              <w:top w:val="single" w:sz="4" w:space="0" w:color="auto"/>
            </w:tcBorders>
            <w:noWrap/>
            <w:hideMark/>
          </w:tcPr>
          <w:p w14:paraId="249F5B1E" w14:textId="77777777" w:rsidR="00A673D9" w:rsidRPr="008A67E5" w:rsidRDefault="00A673D9">
            <w:pPr>
              <w:rPr>
                <w:sz w:val="24"/>
                <w:szCs w:val="24"/>
              </w:rPr>
            </w:pPr>
            <w:r w:rsidRPr="008A67E5">
              <w:rPr>
                <w:sz w:val="24"/>
                <w:szCs w:val="24"/>
              </w:rPr>
              <w:t>BUS Final</w:t>
            </w:r>
          </w:p>
        </w:tc>
        <w:tc>
          <w:tcPr>
            <w:tcW w:w="0" w:type="auto"/>
            <w:tcBorders>
              <w:top w:val="single" w:sz="4" w:space="0" w:color="auto"/>
            </w:tcBorders>
            <w:noWrap/>
            <w:hideMark/>
          </w:tcPr>
          <w:p w14:paraId="10776531" w14:textId="77777777" w:rsidR="00A673D9" w:rsidRPr="008A67E5" w:rsidRDefault="00A673D9">
            <w:pPr>
              <w:rPr>
                <w:sz w:val="24"/>
                <w:szCs w:val="24"/>
              </w:rPr>
            </w:pPr>
            <w:r w:rsidRPr="008A67E5">
              <w:rPr>
                <w:sz w:val="24"/>
                <w:szCs w:val="24"/>
              </w:rPr>
              <w:t>BUS Intermediate</w:t>
            </w:r>
          </w:p>
        </w:tc>
      </w:tr>
      <w:tr w:rsidR="00A673D9" w:rsidRPr="005E78B9" w14:paraId="382A0B86" w14:textId="77777777" w:rsidTr="00A673D9">
        <w:trPr>
          <w:trHeight w:val="300"/>
        </w:trPr>
        <w:tc>
          <w:tcPr>
            <w:tcW w:w="0" w:type="auto"/>
            <w:noWrap/>
            <w:hideMark/>
          </w:tcPr>
          <w:p w14:paraId="5CD478FC" w14:textId="3A1E929F" w:rsidR="00A673D9" w:rsidRPr="008A67E5" w:rsidRDefault="00A673D9" w:rsidP="00A673D9">
            <w:pPr>
              <w:rPr>
                <w:sz w:val="24"/>
                <w:szCs w:val="24"/>
              </w:rPr>
            </w:pPr>
            <w:r w:rsidRPr="008A67E5">
              <w:rPr>
                <w:sz w:val="24"/>
                <w:szCs w:val="24"/>
              </w:rPr>
              <w:t>Log(STRI)</w:t>
            </w:r>
          </w:p>
        </w:tc>
        <w:tc>
          <w:tcPr>
            <w:tcW w:w="0" w:type="auto"/>
            <w:noWrap/>
            <w:hideMark/>
          </w:tcPr>
          <w:p w14:paraId="5E324365" w14:textId="77777777" w:rsidR="00A673D9" w:rsidRPr="008A67E5" w:rsidRDefault="00A673D9" w:rsidP="00A673D9">
            <w:pPr>
              <w:rPr>
                <w:sz w:val="24"/>
                <w:szCs w:val="24"/>
              </w:rPr>
            </w:pPr>
            <w:r w:rsidRPr="008A67E5">
              <w:rPr>
                <w:sz w:val="24"/>
                <w:szCs w:val="24"/>
              </w:rPr>
              <w:t>-0.053</w:t>
            </w:r>
          </w:p>
        </w:tc>
        <w:tc>
          <w:tcPr>
            <w:tcW w:w="0" w:type="auto"/>
            <w:noWrap/>
            <w:hideMark/>
          </w:tcPr>
          <w:p w14:paraId="49507074" w14:textId="77777777" w:rsidR="00A673D9" w:rsidRPr="008A67E5" w:rsidRDefault="00A673D9" w:rsidP="00A673D9">
            <w:pPr>
              <w:rPr>
                <w:sz w:val="24"/>
                <w:szCs w:val="24"/>
              </w:rPr>
            </w:pPr>
            <w:r w:rsidRPr="008A67E5">
              <w:rPr>
                <w:sz w:val="24"/>
                <w:szCs w:val="24"/>
              </w:rPr>
              <w:t>0.187</w:t>
            </w:r>
          </w:p>
        </w:tc>
        <w:tc>
          <w:tcPr>
            <w:tcW w:w="0" w:type="auto"/>
            <w:noWrap/>
            <w:hideMark/>
          </w:tcPr>
          <w:p w14:paraId="2DF6E829" w14:textId="77777777" w:rsidR="00A673D9" w:rsidRPr="008A67E5" w:rsidRDefault="00A673D9" w:rsidP="00A673D9">
            <w:pPr>
              <w:rPr>
                <w:sz w:val="24"/>
                <w:szCs w:val="24"/>
              </w:rPr>
            </w:pPr>
            <w:r w:rsidRPr="008A67E5">
              <w:rPr>
                <w:sz w:val="24"/>
                <w:szCs w:val="24"/>
              </w:rPr>
              <w:t>0.398**</w:t>
            </w:r>
          </w:p>
        </w:tc>
        <w:tc>
          <w:tcPr>
            <w:tcW w:w="0" w:type="auto"/>
            <w:noWrap/>
            <w:hideMark/>
          </w:tcPr>
          <w:p w14:paraId="74353473" w14:textId="77777777" w:rsidR="00A673D9" w:rsidRPr="008A67E5" w:rsidRDefault="00A673D9" w:rsidP="00A673D9">
            <w:pPr>
              <w:rPr>
                <w:sz w:val="24"/>
                <w:szCs w:val="24"/>
              </w:rPr>
            </w:pPr>
            <w:r w:rsidRPr="008A67E5">
              <w:rPr>
                <w:sz w:val="24"/>
                <w:szCs w:val="24"/>
              </w:rPr>
              <w:t>0.871***</w:t>
            </w:r>
          </w:p>
        </w:tc>
      </w:tr>
      <w:tr w:rsidR="00A673D9" w:rsidRPr="005E78B9" w14:paraId="52FEB367" w14:textId="77777777" w:rsidTr="00A673D9">
        <w:trPr>
          <w:trHeight w:val="300"/>
        </w:trPr>
        <w:tc>
          <w:tcPr>
            <w:tcW w:w="0" w:type="auto"/>
            <w:noWrap/>
            <w:hideMark/>
          </w:tcPr>
          <w:p w14:paraId="4008F550" w14:textId="77777777" w:rsidR="00A673D9" w:rsidRPr="008A67E5" w:rsidRDefault="00A673D9" w:rsidP="00A673D9">
            <w:pPr>
              <w:rPr>
                <w:sz w:val="24"/>
                <w:szCs w:val="24"/>
              </w:rPr>
            </w:pPr>
          </w:p>
        </w:tc>
        <w:tc>
          <w:tcPr>
            <w:tcW w:w="0" w:type="auto"/>
            <w:noWrap/>
            <w:hideMark/>
          </w:tcPr>
          <w:p w14:paraId="32B7CB8A" w14:textId="77777777" w:rsidR="00A673D9" w:rsidRPr="008A67E5" w:rsidRDefault="00A673D9" w:rsidP="00A673D9">
            <w:pPr>
              <w:rPr>
                <w:sz w:val="24"/>
                <w:szCs w:val="24"/>
              </w:rPr>
            </w:pPr>
            <w:r w:rsidRPr="008A67E5">
              <w:rPr>
                <w:sz w:val="24"/>
                <w:szCs w:val="24"/>
              </w:rPr>
              <w:t>(0.649)</w:t>
            </w:r>
          </w:p>
        </w:tc>
        <w:tc>
          <w:tcPr>
            <w:tcW w:w="0" w:type="auto"/>
            <w:noWrap/>
            <w:hideMark/>
          </w:tcPr>
          <w:p w14:paraId="50083FEE" w14:textId="77777777" w:rsidR="00A673D9" w:rsidRPr="008A67E5" w:rsidRDefault="00A673D9" w:rsidP="00A673D9">
            <w:pPr>
              <w:rPr>
                <w:sz w:val="24"/>
                <w:szCs w:val="24"/>
              </w:rPr>
            </w:pPr>
            <w:r w:rsidRPr="008A67E5">
              <w:rPr>
                <w:sz w:val="24"/>
                <w:szCs w:val="24"/>
              </w:rPr>
              <w:t>(0.144)</w:t>
            </w:r>
          </w:p>
        </w:tc>
        <w:tc>
          <w:tcPr>
            <w:tcW w:w="0" w:type="auto"/>
            <w:noWrap/>
            <w:hideMark/>
          </w:tcPr>
          <w:p w14:paraId="67895C49" w14:textId="77777777" w:rsidR="00A673D9" w:rsidRPr="008A67E5" w:rsidRDefault="00A673D9" w:rsidP="00A673D9">
            <w:pPr>
              <w:rPr>
                <w:sz w:val="24"/>
                <w:szCs w:val="24"/>
              </w:rPr>
            </w:pPr>
            <w:r w:rsidRPr="008A67E5">
              <w:rPr>
                <w:sz w:val="24"/>
                <w:szCs w:val="24"/>
              </w:rPr>
              <w:t>(0.016)</w:t>
            </w:r>
          </w:p>
        </w:tc>
        <w:tc>
          <w:tcPr>
            <w:tcW w:w="0" w:type="auto"/>
            <w:noWrap/>
            <w:hideMark/>
          </w:tcPr>
          <w:p w14:paraId="1BA639A8" w14:textId="77777777" w:rsidR="00A673D9" w:rsidRPr="008A67E5" w:rsidRDefault="00A673D9" w:rsidP="00A673D9">
            <w:pPr>
              <w:rPr>
                <w:sz w:val="24"/>
                <w:szCs w:val="24"/>
              </w:rPr>
            </w:pPr>
            <w:r w:rsidRPr="008A67E5">
              <w:rPr>
                <w:sz w:val="24"/>
                <w:szCs w:val="24"/>
              </w:rPr>
              <w:t>(0.000)</w:t>
            </w:r>
          </w:p>
        </w:tc>
      </w:tr>
      <w:tr w:rsidR="00A673D9" w:rsidRPr="005E78B9" w14:paraId="3A0ABF92" w14:textId="77777777" w:rsidTr="00A673D9">
        <w:trPr>
          <w:trHeight w:val="300"/>
        </w:trPr>
        <w:tc>
          <w:tcPr>
            <w:tcW w:w="0" w:type="auto"/>
            <w:noWrap/>
            <w:hideMark/>
          </w:tcPr>
          <w:p w14:paraId="10355A4D" w14:textId="08E71807" w:rsidR="00A673D9" w:rsidRPr="008A67E5" w:rsidRDefault="00A673D9" w:rsidP="00A673D9">
            <w:pPr>
              <w:rPr>
                <w:sz w:val="24"/>
                <w:szCs w:val="24"/>
              </w:rPr>
            </w:pPr>
            <w:r w:rsidRPr="008A67E5">
              <w:rPr>
                <w:sz w:val="24"/>
                <w:szCs w:val="24"/>
              </w:rPr>
              <w:t>Log(Distance)</w:t>
            </w:r>
          </w:p>
        </w:tc>
        <w:tc>
          <w:tcPr>
            <w:tcW w:w="0" w:type="auto"/>
            <w:noWrap/>
            <w:hideMark/>
          </w:tcPr>
          <w:p w14:paraId="69D5F451" w14:textId="77777777" w:rsidR="00A673D9" w:rsidRPr="008A67E5" w:rsidRDefault="00A673D9" w:rsidP="00A673D9">
            <w:pPr>
              <w:rPr>
                <w:sz w:val="24"/>
                <w:szCs w:val="24"/>
              </w:rPr>
            </w:pPr>
            <w:r w:rsidRPr="008A67E5">
              <w:rPr>
                <w:sz w:val="24"/>
                <w:szCs w:val="24"/>
              </w:rPr>
              <w:t>0.145***</w:t>
            </w:r>
          </w:p>
        </w:tc>
        <w:tc>
          <w:tcPr>
            <w:tcW w:w="0" w:type="auto"/>
            <w:noWrap/>
            <w:hideMark/>
          </w:tcPr>
          <w:p w14:paraId="500AB80B" w14:textId="77777777" w:rsidR="00A673D9" w:rsidRPr="008A67E5" w:rsidRDefault="00A673D9" w:rsidP="00A673D9">
            <w:pPr>
              <w:rPr>
                <w:sz w:val="24"/>
                <w:szCs w:val="24"/>
              </w:rPr>
            </w:pPr>
            <w:r w:rsidRPr="008A67E5">
              <w:rPr>
                <w:sz w:val="24"/>
                <w:szCs w:val="24"/>
              </w:rPr>
              <w:t>0.131**</w:t>
            </w:r>
          </w:p>
        </w:tc>
        <w:tc>
          <w:tcPr>
            <w:tcW w:w="0" w:type="auto"/>
            <w:noWrap/>
            <w:hideMark/>
          </w:tcPr>
          <w:p w14:paraId="4643580F" w14:textId="77777777" w:rsidR="00A673D9" w:rsidRPr="008A67E5" w:rsidRDefault="00A673D9" w:rsidP="00A673D9">
            <w:pPr>
              <w:rPr>
                <w:sz w:val="24"/>
                <w:szCs w:val="24"/>
              </w:rPr>
            </w:pPr>
            <w:r w:rsidRPr="008A67E5">
              <w:rPr>
                <w:sz w:val="24"/>
                <w:szCs w:val="24"/>
              </w:rPr>
              <w:t>0.098***</w:t>
            </w:r>
          </w:p>
        </w:tc>
        <w:tc>
          <w:tcPr>
            <w:tcW w:w="0" w:type="auto"/>
            <w:noWrap/>
            <w:hideMark/>
          </w:tcPr>
          <w:p w14:paraId="20961E07" w14:textId="77777777" w:rsidR="00A673D9" w:rsidRPr="008A67E5" w:rsidRDefault="00A673D9" w:rsidP="00A673D9">
            <w:pPr>
              <w:rPr>
                <w:sz w:val="24"/>
                <w:szCs w:val="24"/>
              </w:rPr>
            </w:pPr>
            <w:r w:rsidRPr="008A67E5">
              <w:rPr>
                <w:sz w:val="24"/>
                <w:szCs w:val="24"/>
              </w:rPr>
              <w:t>0.099***</w:t>
            </w:r>
          </w:p>
        </w:tc>
      </w:tr>
      <w:tr w:rsidR="00A673D9" w:rsidRPr="005E78B9" w14:paraId="2CFE4368" w14:textId="77777777" w:rsidTr="00A673D9">
        <w:trPr>
          <w:trHeight w:val="300"/>
        </w:trPr>
        <w:tc>
          <w:tcPr>
            <w:tcW w:w="0" w:type="auto"/>
            <w:noWrap/>
            <w:hideMark/>
          </w:tcPr>
          <w:p w14:paraId="49641363" w14:textId="77777777" w:rsidR="00A673D9" w:rsidRPr="008A67E5" w:rsidRDefault="00A673D9" w:rsidP="00A673D9">
            <w:pPr>
              <w:rPr>
                <w:sz w:val="24"/>
                <w:szCs w:val="24"/>
              </w:rPr>
            </w:pPr>
          </w:p>
        </w:tc>
        <w:tc>
          <w:tcPr>
            <w:tcW w:w="0" w:type="auto"/>
            <w:noWrap/>
            <w:hideMark/>
          </w:tcPr>
          <w:p w14:paraId="1F48A485" w14:textId="77777777" w:rsidR="00A673D9" w:rsidRPr="008A67E5" w:rsidRDefault="00A673D9" w:rsidP="00A673D9">
            <w:pPr>
              <w:rPr>
                <w:sz w:val="24"/>
                <w:szCs w:val="24"/>
              </w:rPr>
            </w:pPr>
            <w:r w:rsidRPr="008A67E5">
              <w:rPr>
                <w:sz w:val="24"/>
                <w:szCs w:val="24"/>
              </w:rPr>
              <w:t>(0.000)</w:t>
            </w:r>
          </w:p>
        </w:tc>
        <w:tc>
          <w:tcPr>
            <w:tcW w:w="0" w:type="auto"/>
            <w:noWrap/>
            <w:hideMark/>
          </w:tcPr>
          <w:p w14:paraId="40DC36D7" w14:textId="77777777" w:rsidR="00A673D9" w:rsidRPr="008A67E5" w:rsidRDefault="00A673D9" w:rsidP="00A673D9">
            <w:pPr>
              <w:rPr>
                <w:sz w:val="24"/>
                <w:szCs w:val="24"/>
              </w:rPr>
            </w:pPr>
            <w:r w:rsidRPr="008A67E5">
              <w:rPr>
                <w:sz w:val="24"/>
                <w:szCs w:val="24"/>
              </w:rPr>
              <w:t>(0.019)</w:t>
            </w:r>
          </w:p>
        </w:tc>
        <w:tc>
          <w:tcPr>
            <w:tcW w:w="0" w:type="auto"/>
            <w:noWrap/>
            <w:hideMark/>
          </w:tcPr>
          <w:p w14:paraId="5B30BC9B" w14:textId="77777777" w:rsidR="00A673D9" w:rsidRPr="008A67E5" w:rsidRDefault="00A673D9" w:rsidP="00A673D9">
            <w:pPr>
              <w:rPr>
                <w:sz w:val="24"/>
                <w:szCs w:val="24"/>
              </w:rPr>
            </w:pPr>
            <w:r w:rsidRPr="008A67E5">
              <w:rPr>
                <w:sz w:val="24"/>
                <w:szCs w:val="24"/>
              </w:rPr>
              <w:t>(0.000)</w:t>
            </w:r>
          </w:p>
        </w:tc>
        <w:tc>
          <w:tcPr>
            <w:tcW w:w="0" w:type="auto"/>
            <w:noWrap/>
            <w:hideMark/>
          </w:tcPr>
          <w:p w14:paraId="77C072BA" w14:textId="77777777" w:rsidR="00A673D9" w:rsidRPr="008A67E5" w:rsidRDefault="00A673D9" w:rsidP="00A673D9">
            <w:pPr>
              <w:rPr>
                <w:sz w:val="24"/>
                <w:szCs w:val="24"/>
              </w:rPr>
            </w:pPr>
            <w:r w:rsidRPr="008A67E5">
              <w:rPr>
                <w:sz w:val="24"/>
                <w:szCs w:val="24"/>
              </w:rPr>
              <w:t>(0.000)</w:t>
            </w:r>
          </w:p>
        </w:tc>
      </w:tr>
      <w:tr w:rsidR="00A673D9" w:rsidRPr="005E78B9" w14:paraId="7B5FD543" w14:textId="77777777" w:rsidTr="00A673D9">
        <w:trPr>
          <w:trHeight w:val="300"/>
        </w:trPr>
        <w:tc>
          <w:tcPr>
            <w:tcW w:w="0" w:type="auto"/>
            <w:noWrap/>
            <w:hideMark/>
          </w:tcPr>
          <w:p w14:paraId="316CADBF" w14:textId="7E316CE7" w:rsidR="00A673D9" w:rsidRPr="008A67E5" w:rsidRDefault="00A673D9" w:rsidP="00A673D9">
            <w:pPr>
              <w:rPr>
                <w:sz w:val="24"/>
                <w:szCs w:val="24"/>
              </w:rPr>
            </w:pPr>
            <w:r w:rsidRPr="008A67E5">
              <w:rPr>
                <w:sz w:val="24"/>
                <w:szCs w:val="24"/>
              </w:rPr>
              <w:t>Common Language</w:t>
            </w:r>
          </w:p>
        </w:tc>
        <w:tc>
          <w:tcPr>
            <w:tcW w:w="0" w:type="auto"/>
            <w:noWrap/>
            <w:hideMark/>
          </w:tcPr>
          <w:p w14:paraId="31523E5F" w14:textId="77777777" w:rsidR="00A673D9" w:rsidRPr="008A67E5" w:rsidRDefault="00A673D9" w:rsidP="00A673D9">
            <w:pPr>
              <w:rPr>
                <w:sz w:val="24"/>
                <w:szCs w:val="24"/>
              </w:rPr>
            </w:pPr>
            <w:r w:rsidRPr="008A67E5">
              <w:rPr>
                <w:sz w:val="24"/>
                <w:szCs w:val="24"/>
              </w:rPr>
              <w:t>-0.192*</w:t>
            </w:r>
          </w:p>
        </w:tc>
        <w:tc>
          <w:tcPr>
            <w:tcW w:w="0" w:type="auto"/>
            <w:noWrap/>
            <w:hideMark/>
          </w:tcPr>
          <w:p w14:paraId="3B2F8F04" w14:textId="77777777" w:rsidR="00A673D9" w:rsidRPr="008A67E5" w:rsidRDefault="00A673D9" w:rsidP="00A673D9">
            <w:pPr>
              <w:rPr>
                <w:sz w:val="24"/>
                <w:szCs w:val="24"/>
              </w:rPr>
            </w:pPr>
            <w:r w:rsidRPr="008A67E5">
              <w:rPr>
                <w:sz w:val="24"/>
                <w:szCs w:val="24"/>
              </w:rPr>
              <w:t>-0.213*</w:t>
            </w:r>
          </w:p>
        </w:tc>
        <w:tc>
          <w:tcPr>
            <w:tcW w:w="0" w:type="auto"/>
            <w:noWrap/>
            <w:hideMark/>
          </w:tcPr>
          <w:p w14:paraId="2A8E5164" w14:textId="77777777" w:rsidR="00A673D9" w:rsidRPr="008A67E5" w:rsidRDefault="00A673D9" w:rsidP="00A673D9">
            <w:pPr>
              <w:rPr>
                <w:sz w:val="24"/>
                <w:szCs w:val="24"/>
              </w:rPr>
            </w:pPr>
            <w:r w:rsidRPr="008A67E5">
              <w:rPr>
                <w:sz w:val="24"/>
                <w:szCs w:val="24"/>
              </w:rPr>
              <w:t>-0.058</w:t>
            </w:r>
          </w:p>
        </w:tc>
        <w:tc>
          <w:tcPr>
            <w:tcW w:w="0" w:type="auto"/>
            <w:noWrap/>
            <w:hideMark/>
          </w:tcPr>
          <w:p w14:paraId="30D52100" w14:textId="77777777" w:rsidR="00A673D9" w:rsidRPr="008A67E5" w:rsidRDefault="00A673D9" w:rsidP="00A673D9">
            <w:pPr>
              <w:rPr>
                <w:sz w:val="24"/>
                <w:szCs w:val="24"/>
              </w:rPr>
            </w:pPr>
            <w:r w:rsidRPr="008A67E5">
              <w:rPr>
                <w:sz w:val="24"/>
                <w:szCs w:val="24"/>
              </w:rPr>
              <w:t>-0.125</w:t>
            </w:r>
          </w:p>
        </w:tc>
      </w:tr>
      <w:tr w:rsidR="00A673D9" w:rsidRPr="005E78B9" w14:paraId="765DD2D4" w14:textId="77777777" w:rsidTr="00A673D9">
        <w:trPr>
          <w:trHeight w:val="300"/>
        </w:trPr>
        <w:tc>
          <w:tcPr>
            <w:tcW w:w="0" w:type="auto"/>
            <w:noWrap/>
            <w:hideMark/>
          </w:tcPr>
          <w:p w14:paraId="26856A7F" w14:textId="77777777" w:rsidR="00A673D9" w:rsidRPr="008A67E5" w:rsidRDefault="00A673D9" w:rsidP="00A673D9">
            <w:pPr>
              <w:rPr>
                <w:sz w:val="24"/>
                <w:szCs w:val="24"/>
              </w:rPr>
            </w:pPr>
          </w:p>
        </w:tc>
        <w:tc>
          <w:tcPr>
            <w:tcW w:w="0" w:type="auto"/>
            <w:noWrap/>
            <w:hideMark/>
          </w:tcPr>
          <w:p w14:paraId="6753470D" w14:textId="77777777" w:rsidR="00A673D9" w:rsidRPr="008A67E5" w:rsidRDefault="00A673D9" w:rsidP="00A673D9">
            <w:pPr>
              <w:rPr>
                <w:sz w:val="24"/>
                <w:szCs w:val="24"/>
              </w:rPr>
            </w:pPr>
            <w:r w:rsidRPr="008A67E5">
              <w:rPr>
                <w:sz w:val="24"/>
                <w:szCs w:val="24"/>
              </w:rPr>
              <w:t>(0.056)</w:t>
            </w:r>
          </w:p>
        </w:tc>
        <w:tc>
          <w:tcPr>
            <w:tcW w:w="0" w:type="auto"/>
            <w:noWrap/>
            <w:hideMark/>
          </w:tcPr>
          <w:p w14:paraId="00D9B16B" w14:textId="77777777" w:rsidR="00A673D9" w:rsidRPr="008A67E5" w:rsidRDefault="00A673D9" w:rsidP="00A673D9">
            <w:pPr>
              <w:rPr>
                <w:sz w:val="24"/>
                <w:szCs w:val="24"/>
              </w:rPr>
            </w:pPr>
            <w:r w:rsidRPr="008A67E5">
              <w:rPr>
                <w:sz w:val="24"/>
                <w:szCs w:val="24"/>
              </w:rPr>
              <w:t>(0.059)</w:t>
            </w:r>
          </w:p>
        </w:tc>
        <w:tc>
          <w:tcPr>
            <w:tcW w:w="0" w:type="auto"/>
            <w:noWrap/>
            <w:hideMark/>
          </w:tcPr>
          <w:p w14:paraId="3A77F45E" w14:textId="77777777" w:rsidR="00A673D9" w:rsidRPr="008A67E5" w:rsidRDefault="00A673D9" w:rsidP="00A673D9">
            <w:pPr>
              <w:rPr>
                <w:sz w:val="24"/>
                <w:szCs w:val="24"/>
              </w:rPr>
            </w:pPr>
            <w:r w:rsidRPr="008A67E5">
              <w:rPr>
                <w:sz w:val="24"/>
                <w:szCs w:val="24"/>
              </w:rPr>
              <w:t>(0.310)</w:t>
            </w:r>
          </w:p>
        </w:tc>
        <w:tc>
          <w:tcPr>
            <w:tcW w:w="0" w:type="auto"/>
            <w:noWrap/>
            <w:hideMark/>
          </w:tcPr>
          <w:p w14:paraId="26E69138" w14:textId="77777777" w:rsidR="00A673D9" w:rsidRPr="008A67E5" w:rsidRDefault="00A673D9" w:rsidP="00A673D9">
            <w:pPr>
              <w:rPr>
                <w:sz w:val="24"/>
                <w:szCs w:val="24"/>
              </w:rPr>
            </w:pPr>
            <w:r w:rsidRPr="008A67E5">
              <w:rPr>
                <w:sz w:val="24"/>
                <w:szCs w:val="24"/>
              </w:rPr>
              <w:t>(0.104)</w:t>
            </w:r>
          </w:p>
        </w:tc>
      </w:tr>
      <w:tr w:rsidR="00A673D9" w:rsidRPr="005E78B9" w14:paraId="72C91527" w14:textId="77777777" w:rsidTr="00A673D9">
        <w:trPr>
          <w:trHeight w:val="300"/>
        </w:trPr>
        <w:tc>
          <w:tcPr>
            <w:tcW w:w="0" w:type="auto"/>
            <w:noWrap/>
            <w:hideMark/>
          </w:tcPr>
          <w:p w14:paraId="086E05C8" w14:textId="33C8B8A9" w:rsidR="00A673D9" w:rsidRPr="008A67E5" w:rsidRDefault="00A673D9" w:rsidP="00A673D9">
            <w:pPr>
              <w:rPr>
                <w:sz w:val="24"/>
                <w:szCs w:val="24"/>
              </w:rPr>
            </w:pPr>
            <w:r w:rsidRPr="008A67E5">
              <w:rPr>
                <w:sz w:val="24"/>
                <w:szCs w:val="24"/>
              </w:rPr>
              <w:t>Colony</w:t>
            </w:r>
          </w:p>
        </w:tc>
        <w:tc>
          <w:tcPr>
            <w:tcW w:w="0" w:type="auto"/>
            <w:noWrap/>
            <w:hideMark/>
          </w:tcPr>
          <w:p w14:paraId="7FE07962" w14:textId="77777777" w:rsidR="00A673D9" w:rsidRPr="008A67E5" w:rsidRDefault="00A673D9" w:rsidP="00A673D9">
            <w:pPr>
              <w:rPr>
                <w:sz w:val="24"/>
                <w:szCs w:val="24"/>
              </w:rPr>
            </w:pPr>
            <w:r w:rsidRPr="008A67E5">
              <w:rPr>
                <w:sz w:val="24"/>
                <w:szCs w:val="24"/>
              </w:rPr>
              <w:t>-0.149**</w:t>
            </w:r>
          </w:p>
        </w:tc>
        <w:tc>
          <w:tcPr>
            <w:tcW w:w="0" w:type="auto"/>
            <w:noWrap/>
            <w:hideMark/>
          </w:tcPr>
          <w:p w14:paraId="619D997D" w14:textId="77777777" w:rsidR="00A673D9" w:rsidRPr="008A67E5" w:rsidRDefault="00A673D9" w:rsidP="00A673D9">
            <w:pPr>
              <w:rPr>
                <w:sz w:val="24"/>
                <w:szCs w:val="24"/>
              </w:rPr>
            </w:pPr>
            <w:r w:rsidRPr="008A67E5">
              <w:rPr>
                <w:sz w:val="24"/>
                <w:szCs w:val="24"/>
              </w:rPr>
              <w:t>-0.165*</w:t>
            </w:r>
          </w:p>
        </w:tc>
        <w:tc>
          <w:tcPr>
            <w:tcW w:w="0" w:type="auto"/>
            <w:noWrap/>
            <w:hideMark/>
          </w:tcPr>
          <w:p w14:paraId="76163808" w14:textId="77777777" w:rsidR="00A673D9" w:rsidRPr="008A67E5" w:rsidRDefault="00A673D9" w:rsidP="00A673D9">
            <w:pPr>
              <w:rPr>
                <w:sz w:val="24"/>
                <w:szCs w:val="24"/>
              </w:rPr>
            </w:pPr>
            <w:r w:rsidRPr="008A67E5">
              <w:rPr>
                <w:sz w:val="24"/>
                <w:szCs w:val="24"/>
              </w:rPr>
              <w:t>-0.062</w:t>
            </w:r>
          </w:p>
        </w:tc>
        <w:tc>
          <w:tcPr>
            <w:tcW w:w="0" w:type="auto"/>
            <w:noWrap/>
            <w:hideMark/>
          </w:tcPr>
          <w:p w14:paraId="4D709320" w14:textId="77777777" w:rsidR="00A673D9" w:rsidRPr="008A67E5" w:rsidRDefault="00A673D9" w:rsidP="00A673D9">
            <w:pPr>
              <w:rPr>
                <w:sz w:val="24"/>
                <w:szCs w:val="24"/>
              </w:rPr>
            </w:pPr>
            <w:r w:rsidRPr="008A67E5">
              <w:rPr>
                <w:sz w:val="24"/>
                <w:szCs w:val="24"/>
              </w:rPr>
              <w:t>-0.034</w:t>
            </w:r>
          </w:p>
        </w:tc>
      </w:tr>
      <w:tr w:rsidR="00A673D9" w:rsidRPr="005E78B9" w14:paraId="38A1642D" w14:textId="77777777" w:rsidTr="00A673D9">
        <w:trPr>
          <w:trHeight w:val="300"/>
        </w:trPr>
        <w:tc>
          <w:tcPr>
            <w:tcW w:w="0" w:type="auto"/>
            <w:noWrap/>
            <w:hideMark/>
          </w:tcPr>
          <w:p w14:paraId="273D73E7" w14:textId="77777777" w:rsidR="00A673D9" w:rsidRPr="008A67E5" w:rsidRDefault="00A673D9" w:rsidP="00A673D9">
            <w:pPr>
              <w:rPr>
                <w:sz w:val="24"/>
                <w:szCs w:val="24"/>
              </w:rPr>
            </w:pPr>
          </w:p>
        </w:tc>
        <w:tc>
          <w:tcPr>
            <w:tcW w:w="0" w:type="auto"/>
            <w:noWrap/>
            <w:hideMark/>
          </w:tcPr>
          <w:p w14:paraId="7B942CC5" w14:textId="77777777" w:rsidR="00A673D9" w:rsidRPr="008A67E5" w:rsidRDefault="00A673D9" w:rsidP="00A673D9">
            <w:pPr>
              <w:rPr>
                <w:sz w:val="24"/>
                <w:szCs w:val="24"/>
              </w:rPr>
            </w:pPr>
            <w:r w:rsidRPr="008A67E5">
              <w:rPr>
                <w:sz w:val="24"/>
                <w:szCs w:val="24"/>
              </w:rPr>
              <w:t>(0.047)</w:t>
            </w:r>
          </w:p>
        </w:tc>
        <w:tc>
          <w:tcPr>
            <w:tcW w:w="0" w:type="auto"/>
            <w:noWrap/>
            <w:hideMark/>
          </w:tcPr>
          <w:p w14:paraId="7E86892F" w14:textId="77777777" w:rsidR="00A673D9" w:rsidRPr="008A67E5" w:rsidRDefault="00A673D9" w:rsidP="00A673D9">
            <w:pPr>
              <w:rPr>
                <w:sz w:val="24"/>
                <w:szCs w:val="24"/>
              </w:rPr>
            </w:pPr>
            <w:r w:rsidRPr="008A67E5">
              <w:rPr>
                <w:sz w:val="24"/>
                <w:szCs w:val="24"/>
              </w:rPr>
              <w:t>(0.067)</w:t>
            </w:r>
          </w:p>
        </w:tc>
        <w:tc>
          <w:tcPr>
            <w:tcW w:w="0" w:type="auto"/>
            <w:noWrap/>
            <w:hideMark/>
          </w:tcPr>
          <w:p w14:paraId="0A49C797" w14:textId="77777777" w:rsidR="00A673D9" w:rsidRPr="008A67E5" w:rsidRDefault="00A673D9" w:rsidP="00A673D9">
            <w:pPr>
              <w:rPr>
                <w:sz w:val="24"/>
                <w:szCs w:val="24"/>
              </w:rPr>
            </w:pPr>
            <w:r w:rsidRPr="008A67E5">
              <w:rPr>
                <w:sz w:val="24"/>
                <w:szCs w:val="24"/>
              </w:rPr>
              <w:t>(0.288)</w:t>
            </w:r>
          </w:p>
        </w:tc>
        <w:tc>
          <w:tcPr>
            <w:tcW w:w="0" w:type="auto"/>
            <w:noWrap/>
            <w:hideMark/>
          </w:tcPr>
          <w:p w14:paraId="4B7A948B" w14:textId="77777777" w:rsidR="00A673D9" w:rsidRPr="008A67E5" w:rsidRDefault="00A673D9" w:rsidP="00A673D9">
            <w:pPr>
              <w:rPr>
                <w:sz w:val="24"/>
                <w:szCs w:val="24"/>
              </w:rPr>
            </w:pPr>
            <w:r w:rsidRPr="008A67E5">
              <w:rPr>
                <w:sz w:val="24"/>
                <w:szCs w:val="24"/>
              </w:rPr>
              <w:t>(0.569)</w:t>
            </w:r>
          </w:p>
        </w:tc>
      </w:tr>
      <w:tr w:rsidR="00A673D9" w:rsidRPr="005E78B9" w14:paraId="70D93586" w14:textId="77777777" w:rsidTr="00A673D9">
        <w:trPr>
          <w:trHeight w:val="300"/>
        </w:trPr>
        <w:tc>
          <w:tcPr>
            <w:tcW w:w="0" w:type="auto"/>
            <w:noWrap/>
            <w:hideMark/>
          </w:tcPr>
          <w:p w14:paraId="228CD75C" w14:textId="416653BD" w:rsidR="00A673D9" w:rsidRPr="008A67E5" w:rsidRDefault="00A673D9" w:rsidP="00A673D9">
            <w:pPr>
              <w:rPr>
                <w:sz w:val="24"/>
                <w:szCs w:val="24"/>
              </w:rPr>
            </w:pPr>
            <w:r w:rsidRPr="008A67E5">
              <w:rPr>
                <w:sz w:val="24"/>
                <w:szCs w:val="24"/>
              </w:rPr>
              <w:t>Same Country</w:t>
            </w:r>
          </w:p>
        </w:tc>
        <w:tc>
          <w:tcPr>
            <w:tcW w:w="0" w:type="auto"/>
            <w:noWrap/>
            <w:hideMark/>
          </w:tcPr>
          <w:p w14:paraId="102EA311" w14:textId="77777777" w:rsidR="00A673D9" w:rsidRPr="008A67E5" w:rsidRDefault="00A673D9" w:rsidP="00A673D9">
            <w:pPr>
              <w:rPr>
                <w:sz w:val="24"/>
                <w:szCs w:val="24"/>
              </w:rPr>
            </w:pPr>
            <w:r w:rsidRPr="008A67E5">
              <w:rPr>
                <w:sz w:val="24"/>
                <w:szCs w:val="24"/>
              </w:rPr>
              <w:t>-0.196*</w:t>
            </w:r>
          </w:p>
        </w:tc>
        <w:tc>
          <w:tcPr>
            <w:tcW w:w="0" w:type="auto"/>
            <w:noWrap/>
            <w:hideMark/>
          </w:tcPr>
          <w:p w14:paraId="683270F4" w14:textId="77777777" w:rsidR="00A673D9" w:rsidRPr="008A67E5" w:rsidRDefault="00A673D9" w:rsidP="00A673D9">
            <w:pPr>
              <w:rPr>
                <w:sz w:val="24"/>
                <w:szCs w:val="24"/>
              </w:rPr>
            </w:pPr>
            <w:r w:rsidRPr="008A67E5">
              <w:rPr>
                <w:sz w:val="24"/>
                <w:szCs w:val="24"/>
              </w:rPr>
              <w:t>-0.222*</w:t>
            </w:r>
          </w:p>
        </w:tc>
        <w:tc>
          <w:tcPr>
            <w:tcW w:w="0" w:type="auto"/>
            <w:noWrap/>
            <w:hideMark/>
          </w:tcPr>
          <w:p w14:paraId="7224402A" w14:textId="77777777" w:rsidR="00A673D9" w:rsidRPr="008A67E5" w:rsidRDefault="00A673D9" w:rsidP="00A673D9">
            <w:pPr>
              <w:rPr>
                <w:sz w:val="24"/>
                <w:szCs w:val="24"/>
              </w:rPr>
            </w:pPr>
            <w:r w:rsidRPr="008A67E5">
              <w:rPr>
                <w:sz w:val="24"/>
                <w:szCs w:val="24"/>
              </w:rPr>
              <w:t>-0.095</w:t>
            </w:r>
          </w:p>
        </w:tc>
        <w:tc>
          <w:tcPr>
            <w:tcW w:w="0" w:type="auto"/>
            <w:noWrap/>
            <w:hideMark/>
          </w:tcPr>
          <w:p w14:paraId="73BE914D" w14:textId="77777777" w:rsidR="00A673D9" w:rsidRPr="008A67E5" w:rsidRDefault="00A673D9" w:rsidP="00A673D9">
            <w:pPr>
              <w:rPr>
                <w:sz w:val="24"/>
                <w:szCs w:val="24"/>
              </w:rPr>
            </w:pPr>
            <w:r w:rsidRPr="008A67E5">
              <w:rPr>
                <w:sz w:val="24"/>
                <w:szCs w:val="24"/>
              </w:rPr>
              <w:t>-0.151*</w:t>
            </w:r>
          </w:p>
        </w:tc>
      </w:tr>
      <w:tr w:rsidR="00A673D9" w:rsidRPr="005E78B9" w14:paraId="6F807263" w14:textId="77777777" w:rsidTr="00A673D9">
        <w:trPr>
          <w:trHeight w:val="300"/>
        </w:trPr>
        <w:tc>
          <w:tcPr>
            <w:tcW w:w="0" w:type="auto"/>
            <w:tcBorders>
              <w:bottom w:val="single" w:sz="4" w:space="0" w:color="auto"/>
            </w:tcBorders>
            <w:noWrap/>
            <w:hideMark/>
          </w:tcPr>
          <w:p w14:paraId="57E74DF0" w14:textId="77777777" w:rsidR="00A673D9" w:rsidRPr="008A67E5" w:rsidRDefault="00A673D9">
            <w:pPr>
              <w:rPr>
                <w:sz w:val="24"/>
                <w:szCs w:val="24"/>
              </w:rPr>
            </w:pPr>
          </w:p>
        </w:tc>
        <w:tc>
          <w:tcPr>
            <w:tcW w:w="0" w:type="auto"/>
            <w:tcBorders>
              <w:bottom w:val="single" w:sz="4" w:space="0" w:color="auto"/>
            </w:tcBorders>
            <w:noWrap/>
            <w:hideMark/>
          </w:tcPr>
          <w:p w14:paraId="5FA5DE8E" w14:textId="77777777" w:rsidR="00A673D9" w:rsidRPr="008A67E5" w:rsidRDefault="00A673D9">
            <w:pPr>
              <w:rPr>
                <w:sz w:val="24"/>
                <w:szCs w:val="24"/>
              </w:rPr>
            </w:pPr>
            <w:r w:rsidRPr="008A67E5">
              <w:rPr>
                <w:sz w:val="24"/>
                <w:szCs w:val="24"/>
              </w:rPr>
              <w:t>(0.071)</w:t>
            </w:r>
          </w:p>
        </w:tc>
        <w:tc>
          <w:tcPr>
            <w:tcW w:w="0" w:type="auto"/>
            <w:tcBorders>
              <w:bottom w:val="single" w:sz="4" w:space="0" w:color="auto"/>
            </w:tcBorders>
            <w:noWrap/>
            <w:hideMark/>
          </w:tcPr>
          <w:p w14:paraId="7957DCC7" w14:textId="77777777" w:rsidR="00A673D9" w:rsidRPr="008A67E5" w:rsidRDefault="00A673D9">
            <w:pPr>
              <w:rPr>
                <w:sz w:val="24"/>
                <w:szCs w:val="24"/>
              </w:rPr>
            </w:pPr>
            <w:r w:rsidRPr="008A67E5">
              <w:rPr>
                <w:sz w:val="24"/>
                <w:szCs w:val="24"/>
              </w:rPr>
              <w:t>(0.079)</w:t>
            </w:r>
          </w:p>
        </w:tc>
        <w:tc>
          <w:tcPr>
            <w:tcW w:w="0" w:type="auto"/>
            <w:tcBorders>
              <w:bottom w:val="single" w:sz="4" w:space="0" w:color="auto"/>
            </w:tcBorders>
            <w:noWrap/>
            <w:hideMark/>
          </w:tcPr>
          <w:p w14:paraId="3ABDAD6A" w14:textId="77777777" w:rsidR="00A673D9" w:rsidRPr="008A67E5" w:rsidRDefault="00A673D9">
            <w:pPr>
              <w:rPr>
                <w:sz w:val="24"/>
                <w:szCs w:val="24"/>
              </w:rPr>
            </w:pPr>
            <w:r w:rsidRPr="008A67E5">
              <w:rPr>
                <w:sz w:val="24"/>
                <w:szCs w:val="24"/>
              </w:rPr>
              <w:t>(0.170)</w:t>
            </w:r>
          </w:p>
        </w:tc>
        <w:tc>
          <w:tcPr>
            <w:tcW w:w="0" w:type="auto"/>
            <w:tcBorders>
              <w:bottom w:val="single" w:sz="4" w:space="0" w:color="auto"/>
            </w:tcBorders>
            <w:noWrap/>
            <w:hideMark/>
          </w:tcPr>
          <w:p w14:paraId="19B27D5F" w14:textId="77777777" w:rsidR="00A673D9" w:rsidRPr="008A67E5" w:rsidRDefault="00A673D9">
            <w:pPr>
              <w:rPr>
                <w:sz w:val="24"/>
                <w:szCs w:val="24"/>
              </w:rPr>
            </w:pPr>
            <w:r w:rsidRPr="008A67E5">
              <w:rPr>
                <w:sz w:val="24"/>
                <w:szCs w:val="24"/>
              </w:rPr>
              <w:t>(0.057)</w:t>
            </w:r>
          </w:p>
        </w:tc>
      </w:tr>
      <w:tr w:rsidR="00A673D9" w:rsidRPr="005E78B9" w14:paraId="345D7BDA" w14:textId="77777777" w:rsidTr="00A673D9">
        <w:trPr>
          <w:trHeight w:val="300"/>
        </w:trPr>
        <w:tc>
          <w:tcPr>
            <w:tcW w:w="0" w:type="auto"/>
            <w:tcBorders>
              <w:top w:val="single" w:sz="4" w:space="0" w:color="auto"/>
            </w:tcBorders>
            <w:noWrap/>
            <w:hideMark/>
          </w:tcPr>
          <w:p w14:paraId="2DB127BE" w14:textId="77777777" w:rsidR="00A673D9" w:rsidRPr="008A67E5" w:rsidRDefault="00A673D9">
            <w:pPr>
              <w:rPr>
                <w:sz w:val="24"/>
                <w:szCs w:val="24"/>
              </w:rPr>
            </w:pPr>
            <w:r w:rsidRPr="008A67E5">
              <w:rPr>
                <w:sz w:val="24"/>
                <w:szCs w:val="24"/>
              </w:rPr>
              <w:t>N</w:t>
            </w:r>
          </w:p>
        </w:tc>
        <w:tc>
          <w:tcPr>
            <w:tcW w:w="0" w:type="auto"/>
            <w:tcBorders>
              <w:top w:val="single" w:sz="4" w:space="0" w:color="auto"/>
            </w:tcBorders>
            <w:noWrap/>
            <w:hideMark/>
          </w:tcPr>
          <w:p w14:paraId="004E6D88" w14:textId="77777777" w:rsidR="00A673D9" w:rsidRPr="008A67E5" w:rsidRDefault="00A673D9">
            <w:pPr>
              <w:rPr>
                <w:sz w:val="24"/>
                <w:szCs w:val="24"/>
              </w:rPr>
            </w:pPr>
            <w:r w:rsidRPr="008A67E5">
              <w:rPr>
                <w:sz w:val="24"/>
                <w:szCs w:val="24"/>
              </w:rPr>
              <w:t>970</w:t>
            </w:r>
          </w:p>
        </w:tc>
        <w:tc>
          <w:tcPr>
            <w:tcW w:w="0" w:type="auto"/>
            <w:tcBorders>
              <w:top w:val="single" w:sz="4" w:space="0" w:color="auto"/>
            </w:tcBorders>
            <w:noWrap/>
            <w:hideMark/>
          </w:tcPr>
          <w:p w14:paraId="5BCCB526" w14:textId="77777777" w:rsidR="00A673D9" w:rsidRPr="008A67E5" w:rsidRDefault="00A673D9">
            <w:pPr>
              <w:rPr>
                <w:sz w:val="24"/>
                <w:szCs w:val="24"/>
              </w:rPr>
            </w:pPr>
            <w:r w:rsidRPr="008A67E5">
              <w:rPr>
                <w:sz w:val="24"/>
                <w:szCs w:val="24"/>
              </w:rPr>
              <w:t>972</w:t>
            </w:r>
          </w:p>
        </w:tc>
        <w:tc>
          <w:tcPr>
            <w:tcW w:w="0" w:type="auto"/>
            <w:tcBorders>
              <w:top w:val="single" w:sz="4" w:space="0" w:color="auto"/>
            </w:tcBorders>
            <w:noWrap/>
            <w:hideMark/>
          </w:tcPr>
          <w:p w14:paraId="574E5C3B" w14:textId="77777777" w:rsidR="00A673D9" w:rsidRPr="008A67E5" w:rsidRDefault="00A673D9">
            <w:pPr>
              <w:rPr>
                <w:sz w:val="24"/>
                <w:szCs w:val="24"/>
              </w:rPr>
            </w:pPr>
            <w:r w:rsidRPr="008A67E5">
              <w:rPr>
                <w:sz w:val="24"/>
                <w:szCs w:val="24"/>
              </w:rPr>
              <w:t>956</w:t>
            </w:r>
          </w:p>
        </w:tc>
        <w:tc>
          <w:tcPr>
            <w:tcW w:w="0" w:type="auto"/>
            <w:tcBorders>
              <w:top w:val="single" w:sz="4" w:space="0" w:color="auto"/>
            </w:tcBorders>
            <w:noWrap/>
            <w:hideMark/>
          </w:tcPr>
          <w:p w14:paraId="74351B19" w14:textId="77777777" w:rsidR="00A673D9" w:rsidRPr="008A67E5" w:rsidRDefault="00A673D9">
            <w:pPr>
              <w:rPr>
                <w:sz w:val="24"/>
                <w:szCs w:val="24"/>
              </w:rPr>
            </w:pPr>
            <w:r w:rsidRPr="008A67E5">
              <w:rPr>
                <w:sz w:val="24"/>
                <w:szCs w:val="24"/>
              </w:rPr>
              <w:t>998</w:t>
            </w:r>
          </w:p>
        </w:tc>
      </w:tr>
      <w:tr w:rsidR="00A673D9" w:rsidRPr="005E78B9" w14:paraId="062AE892" w14:textId="77777777" w:rsidTr="00A673D9">
        <w:trPr>
          <w:trHeight w:val="300"/>
        </w:trPr>
        <w:tc>
          <w:tcPr>
            <w:tcW w:w="0" w:type="auto"/>
            <w:tcBorders>
              <w:bottom w:val="single" w:sz="4" w:space="0" w:color="auto"/>
            </w:tcBorders>
            <w:noWrap/>
            <w:hideMark/>
          </w:tcPr>
          <w:p w14:paraId="01653816" w14:textId="0C8F02CB" w:rsidR="00A673D9" w:rsidRPr="008A67E5" w:rsidRDefault="00A673D9">
            <w:pPr>
              <w:rPr>
                <w:sz w:val="24"/>
                <w:szCs w:val="24"/>
              </w:rPr>
            </w:pPr>
            <w:r w:rsidRPr="008A67E5">
              <w:rPr>
                <w:sz w:val="24"/>
                <w:szCs w:val="24"/>
              </w:rPr>
              <w:t>R2</w:t>
            </w:r>
          </w:p>
        </w:tc>
        <w:tc>
          <w:tcPr>
            <w:tcW w:w="0" w:type="auto"/>
            <w:tcBorders>
              <w:bottom w:val="single" w:sz="4" w:space="0" w:color="auto"/>
            </w:tcBorders>
            <w:noWrap/>
            <w:hideMark/>
          </w:tcPr>
          <w:p w14:paraId="232547F6" w14:textId="77777777" w:rsidR="00A673D9" w:rsidRPr="008A67E5" w:rsidRDefault="00A673D9">
            <w:pPr>
              <w:rPr>
                <w:sz w:val="24"/>
                <w:szCs w:val="24"/>
              </w:rPr>
            </w:pPr>
            <w:r w:rsidRPr="008A67E5">
              <w:rPr>
                <w:sz w:val="24"/>
                <w:szCs w:val="24"/>
              </w:rPr>
              <w:t>0.546</w:t>
            </w:r>
          </w:p>
        </w:tc>
        <w:tc>
          <w:tcPr>
            <w:tcW w:w="0" w:type="auto"/>
            <w:tcBorders>
              <w:bottom w:val="single" w:sz="4" w:space="0" w:color="auto"/>
            </w:tcBorders>
            <w:noWrap/>
            <w:hideMark/>
          </w:tcPr>
          <w:p w14:paraId="68466309" w14:textId="77777777" w:rsidR="00A673D9" w:rsidRPr="008A67E5" w:rsidRDefault="00A673D9">
            <w:pPr>
              <w:rPr>
                <w:sz w:val="24"/>
                <w:szCs w:val="24"/>
              </w:rPr>
            </w:pPr>
            <w:r w:rsidRPr="008A67E5">
              <w:rPr>
                <w:sz w:val="24"/>
                <w:szCs w:val="24"/>
              </w:rPr>
              <w:t>0.493</w:t>
            </w:r>
          </w:p>
        </w:tc>
        <w:tc>
          <w:tcPr>
            <w:tcW w:w="0" w:type="auto"/>
            <w:tcBorders>
              <w:bottom w:val="single" w:sz="4" w:space="0" w:color="auto"/>
            </w:tcBorders>
            <w:noWrap/>
            <w:hideMark/>
          </w:tcPr>
          <w:p w14:paraId="6F523E39" w14:textId="77777777" w:rsidR="00A673D9" w:rsidRPr="008A67E5" w:rsidRDefault="00A673D9">
            <w:pPr>
              <w:rPr>
                <w:sz w:val="24"/>
                <w:szCs w:val="24"/>
              </w:rPr>
            </w:pPr>
            <w:r w:rsidRPr="008A67E5">
              <w:rPr>
                <w:sz w:val="24"/>
                <w:szCs w:val="24"/>
              </w:rPr>
              <w:t>0.710</w:t>
            </w:r>
          </w:p>
        </w:tc>
        <w:tc>
          <w:tcPr>
            <w:tcW w:w="0" w:type="auto"/>
            <w:tcBorders>
              <w:bottom w:val="single" w:sz="4" w:space="0" w:color="auto"/>
            </w:tcBorders>
            <w:noWrap/>
            <w:hideMark/>
          </w:tcPr>
          <w:p w14:paraId="412A1315" w14:textId="77777777" w:rsidR="00A673D9" w:rsidRPr="008A67E5" w:rsidRDefault="00A673D9">
            <w:pPr>
              <w:rPr>
                <w:sz w:val="24"/>
                <w:szCs w:val="24"/>
              </w:rPr>
            </w:pPr>
            <w:r w:rsidRPr="008A67E5">
              <w:rPr>
                <w:sz w:val="24"/>
                <w:szCs w:val="24"/>
              </w:rPr>
              <w:t>0.618</w:t>
            </w:r>
          </w:p>
        </w:tc>
      </w:tr>
    </w:tbl>
    <w:p w14:paraId="04C7DD93" w14:textId="3FB760A5" w:rsidR="0034239F" w:rsidRPr="008A67E5" w:rsidRDefault="005E78B9" w:rsidP="008A67E5">
      <w:pPr>
        <w:rPr>
          <w:i/>
          <w:sz w:val="24"/>
          <w:szCs w:val="24"/>
        </w:rPr>
      </w:pPr>
      <w:r w:rsidRPr="008A67E5">
        <w:rPr>
          <w:i/>
          <w:sz w:val="24"/>
          <w:szCs w:val="24"/>
        </w:rPr>
        <w:t>Source: Authors’ calculations.</w:t>
      </w:r>
    </w:p>
    <w:p w14:paraId="028BFF89" w14:textId="77777777" w:rsidR="009A693E" w:rsidRDefault="00807D1E" w:rsidP="00831091">
      <w:pPr>
        <w:pStyle w:val="Heading1"/>
      </w:pPr>
      <w:r>
        <w:t>6. Conclusion: M</w:t>
      </w:r>
      <w:r w:rsidR="009A693E">
        <w:t>ain policy implications</w:t>
      </w:r>
    </w:p>
    <w:p w14:paraId="7C7A4A87" w14:textId="26D014ED" w:rsidR="0009215F" w:rsidRPr="008A67E5" w:rsidRDefault="0009215F" w:rsidP="008A67E5">
      <w:pPr>
        <w:jc w:val="both"/>
        <w:rPr>
          <w:sz w:val="24"/>
          <w:szCs w:val="24"/>
        </w:rPr>
      </w:pPr>
      <w:r w:rsidRPr="008A67E5">
        <w:rPr>
          <w:sz w:val="24"/>
          <w:szCs w:val="24"/>
        </w:rPr>
        <w:t xml:space="preserve">This </w:t>
      </w:r>
      <w:r w:rsidR="009A1D01" w:rsidRPr="008A67E5">
        <w:rPr>
          <w:sz w:val="24"/>
          <w:szCs w:val="24"/>
        </w:rPr>
        <w:t>chapter</w:t>
      </w:r>
      <w:r w:rsidRPr="008A67E5">
        <w:rPr>
          <w:sz w:val="24"/>
          <w:szCs w:val="24"/>
        </w:rPr>
        <w:t xml:space="preserve"> has used new data to present the first evidence on trade costs in services, distinguishing between services supplied cross-border for final consumption, and those provided as intermediates. </w:t>
      </w:r>
      <w:r w:rsidR="009A1D01" w:rsidRPr="008A67E5">
        <w:rPr>
          <w:sz w:val="24"/>
          <w:szCs w:val="24"/>
        </w:rPr>
        <w:t>The data have been analysed using a theory-consistent methodology that infers the level of trade costs from the observed pattern of trade and production across countries. We have found that final trade costs are higher in all sectors than intermediate trade costs, and that they are falling more slowly. Although there is a generalized downwards trend in both types of trade costs, an important exception is financial services</w:t>
      </w:r>
      <w:r w:rsidR="00094BB7">
        <w:rPr>
          <w:sz w:val="24"/>
          <w:szCs w:val="24"/>
        </w:rPr>
        <w:t xml:space="preserve">, where </w:t>
      </w:r>
      <w:r w:rsidR="009A1D01" w:rsidRPr="008A67E5">
        <w:rPr>
          <w:sz w:val="24"/>
          <w:szCs w:val="24"/>
        </w:rPr>
        <w:t xml:space="preserve">evidence </w:t>
      </w:r>
      <w:r w:rsidR="00094BB7">
        <w:rPr>
          <w:sz w:val="24"/>
          <w:szCs w:val="24"/>
        </w:rPr>
        <w:t xml:space="preserve">suggests </w:t>
      </w:r>
      <w:r w:rsidR="009A1D01" w:rsidRPr="008A67E5">
        <w:rPr>
          <w:sz w:val="24"/>
          <w:szCs w:val="24"/>
        </w:rPr>
        <w:t>that trade costs have increased substantially in the wake of the Global Financial Crisis.</w:t>
      </w:r>
    </w:p>
    <w:p w14:paraId="5119D4F5" w14:textId="35D45F11" w:rsidR="009A1D01" w:rsidRPr="008A67E5" w:rsidRDefault="009A1D01" w:rsidP="008A67E5">
      <w:pPr>
        <w:jc w:val="both"/>
        <w:rPr>
          <w:sz w:val="24"/>
          <w:szCs w:val="24"/>
        </w:rPr>
      </w:pPr>
      <w:r w:rsidRPr="008A67E5">
        <w:rPr>
          <w:sz w:val="24"/>
          <w:szCs w:val="24"/>
        </w:rPr>
        <w:t xml:space="preserve">The second set of empirical findings in the chapter relates more particularly to the role played by policy in determining the level of trade costs. Using the OECD’s new Services Trade Restrictiveness Index, we have found clear evidence of a link between restrictive services trade policies and the level of trade costs, although the relationship is tight in some </w:t>
      </w:r>
      <w:r w:rsidRPr="008A67E5">
        <w:rPr>
          <w:sz w:val="24"/>
          <w:szCs w:val="24"/>
        </w:rPr>
        <w:lastRenderedPageBreak/>
        <w:t>sectors but not others. Interestingly, we have found some evidence indicating that intermediate trade costs are more sensitive to applied services trade policies than are final trade costs. In light of the importance of intermediate trade in services for production and trade of both services and goods in the GVC era, this is an important finding.</w:t>
      </w:r>
    </w:p>
    <w:p w14:paraId="4FD6E7E9" w14:textId="17BF8611" w:rsidR="00BC3CCC" w:rsidRPr="005E78B9" w:rsidRDefault="004A0138" w:rsidP="004A0138">
      <w:pPr>
        <w:jc w:val="both"/>
        <w:rPr>
          <w:sz w:val="24"/>
          <w:szCs w:val="24"/>
        </w:rPr>
      </w:pPr>
      <w:r w:rsidRPr="005E78B9">
        <w:rPr>
          <w:sz w:val="24"/>
          <w:szCs w:val="24"/>
        </w:rPr>
        <w:t xml:space="preserve">The fact that many services are traded embodied in goods implies that services trade negotiators should not limit their attention to barriers on trade in services. Trade protection on goods has an indirect impact on services trade and some authors have suggested looking at a new mode of supply of services, </w:t>
      </w:r>
      <w:r w:rsidR="00094BB7">
        <w:rPr>
          <w:sz w:val="24"/>
          <w:szCs w:val="24"/>
        </w:rPr>
        <w:t xml:space="preserve">so called </w:t>
      </w:r>
      <w:r w:rsidRPr="005E78B9">
        <w:rPr>
          <w:sz w:val="24"/>
          <w:szCs w:val="24"/>
        </w:rPr>
        <w:t>“Mode 5”</w:t>
      </w:r>
      <w:r w:rsidR="00355BDF" w:rsidRPr="008A67E5">
        <w:rPr>
          <w:sz w:val="24"/>
          <w:szCs w:val="24"/>
        </w:rPr>
        <w:t>,</w:t>
      </w:r>
      <w:r w:rsidRPr="005E78B9">
        <w:rPr>
          <w:sz w:val="24"/>
          <w:szCs w:val="24"/>
        </w:rPr>
        <w:t xml:space="preserve"> to account for this indirect trade in services (Cernat and Kutlina-Dimitrova, 2014)</w:t>
      </w:r>
      <w:r w:rsidR="0028464A" w:rsidRPr="005E78B9">
        <w:rPr>
          <w:sz w:val="24"/>
          <w:szCs w:val="24"/>
        </w:rPr>
        <w:t xml:space="preserve">. Since service exporters also use goods as inputs, they are also </w:t>
      </w:r>
      <w:r w:rsidR="00355BDF" w:rsidRPr="008A67E5">
        <w:rPr>
          <w:sz w:val="24"/>
          <w:szCs w:val="24"/>
        </w:rPr>
        <w:t>affected</w:t>
      </w:r>
      <w:r w:rsidR="00355BDF" w:rsidRPr="005E78B9">
        <w:rPr>
          <w:sz w:val="24"/>
          <w:szCs w:val="24"/>
        </w:rPr>
        <w:t xml:space="preserve"> </w:t>
      </w:r>
      <w:r w:rsidR="0028464A" w:rsidRPr="005E78B9">
        <w:rPr>
          <w:sz w:val="24"/>
          <w:szCs w:val="24"/>
        </w:rPr>
        <w:t xml:space="preserve">on the import side. </w:t>
      </w:r>
      <w:r w:rsidRPr="005E78B9">
        <w:rPr>
          <w:sz w:val="24"/>
          <w:szCs w:val="24"/>
        </w:rPr>
        <w:t xml:space="preserve">Miroudot </w:t>
      </w:r>
      <w:r w:rsidRPr="005E78B9">
        <w:rPr>
          <w:i/>
          <w:sz w:val="24"/>
          <w:szCs w:val="24"/>
        </w:rPr>
        <w:t>et al.</w:t>
      </w:r>
      <w:r w:rsidRPr="005E78B9">
        <w:rPr>
          <w:sz w:val="24"/>
          <w:szCs w:val="24"/>
        </w:rPr>
        <w:t xml:space="preserve"> (2013b) show that tariffs in some industries account for a non-negligibl</w:t>
      </w:r>
      <w:r w:rsidR="0028464A" w:rsidRPr="005E78B9">
        <w:rPr>
          <w:sz w:val="24"/>
          <w:szCs w:val="24"/>
        </w:rPr>
        <w:t>e share of the value of service ex</w:t>
      </w:r>
      <w:r w:rsidRPr="005E78B9">
        <w:rPr>
          <w:sz w:val="24"/>
          <w:szCs w:val="24"/>
        </w:rPr>
        <w:t>ports.</w:t>
      </w:r>
      <w:r w:rsidR="0028464A" w:rsidRPr="005E78B9">
        <w:rPr>
          <w:sz w:val="24"/>
          <w:szCs w:val="24"/>
        </w:rPr>
        <w:t xml:space="preserve"> For example, hotels and restaurants providing services to tourists (Mode 2 trade in services) incur </w:t>
      </w:r>
      <w:r w:rsidR="00355BDF" w:rsidRPr="008A67E5">
        <w:rPr>
          <w:sz w:val="24"/>
          <w:szCs w:val="24"/>
        </w:rPr>
        <w:t>significant</w:t>
      </w:r>
      <w:r w:rsidR="00355BDF" w:rsidRPr="005E78B9">
        <w:rPr>
          <w:sz w:val="24"/>
          <w:szCs w:val="24"/>
        </w:rPr>
        <w:t xml:space="preserve"> </w:t>
      </w:r>
      <w:r w:rsidR="0028464A" w:rsidRPr="005E78B9">
        <w:rPr>
          <w:sz w:val="24"/>
          <w:szCs w:val="24"/>
        </w:rPr>
        <w:t>costs related to the high tariffs observed in the agriculture and food sectors upstream.</w:t>
      </w:r>
    </w:p>
    <w:p w14:paraId="028BB7E2" w14:textId="77777777" w:rsidR="0028464A" w:rsidRPr="008A67E5" w:rsidRDefault="00807D1E" w:rsidP="004A0138">
      <w:pPr>
        <w:jc w:val="both"/>
        <w:rPr>
          <w:sz w:val="24"/>
          <w:szCs w:val="24"/>
        </w:rPr>
      </w:pPr>
      <w:r w:rsidRPr="005E78B9">
        <w:rPr>
          <w:sz w:val="24"/>
          <w:szCs w:val="24"/>
        </w:rPr>
        <w:t>A corollary is that the trade restrictiveness observed in the service sector has a detrimental impact on exports of manufacturing goods. The ‘servicification’ of economies implies that many manufacturing industries would export more if they were not limited by the barriers on their service inputs (National Board of Trade, 2012).</w:t>
      </w:r>
    </w:p>
    <w:p w14:paraId="104599D6" w14:textId="1508B4EC" w:rsidR="0097792D" w:rsidRPr="008A67E5" w:rsidRDefault="00355BDF" w:rsidP="004A0138">
      <w:pPr>
        <w:jc w:val="both"/>
        <w:rPr>
          <w:sz w:val="24"/>
          <w:szCs w:val="24"/>
          <w:lang w:val="en-US"/>
        </w:rPr>
      </w:pPr>
      <w:r w:rsidRPr="008A67E5">
        <w:rPr>
          <w:sz w:val="24"/>
          <w:szCs w:val="24"/>
        </w:rPr>
        <w:t xml:space="preserve">The rise of GVCs and the variety of roles that services—including internationally traded services—play within them reinforces the importance of services policies from the point of view of promoting economic activity, increasing productivity, and supporting exports and imports. From one perspective, services are important because they are the “glue” holding GVCs together. The GVC business model simply cannot function without cross-border flows of transport, logistics and distribution, finance, and business services, amongst others. However, this role is not the only one that services play in GVCs. They also enter directly into the production function of goods (and other services) traded within GVCs. </w:t>
      </w:r>
      <w:r w:rsidR="005E78B9" w:rsidRPr="008A67E5">
        <w:rPr>
          <w:sz w:val="24"/>
          <w:szCs w:val="24"/>
        </w:rPr>
        <w:t xml:space="preserve">It has long been recognized that liberalization of services trade policies—broadly understood to include behind-the-border barriers—can have significant “knock on” effects for the rest of the economy, in particular through increased productivity of firms that use services inputs. That observation is all the </w:t>
      </w:r>
      <w:r w:rsidR="005E78B9">
        <w:rPr>
          <w:sz w:val="24"/>
          <w:szCs w:val="24"/>
        </w:rPr>
        <w:t>truer</w:t>
      </w:r>
      <w:r w:rsidR="005E78B9" w:rsidRPr="008A67E5">
        <w:rPr>
          <w:sz w:val="24"/>
          <w:szCs w:val="24"/>
        </w:rPr>
        <w:t xml:space="preserve"> against the backdrop of an increased role for GVCs in production and trade all over the world.</w:t>
      </w:r>
      <w:r w:rsidR="0097792D">
        <w:rPr>
          <w:sz w:val="24"/>
          <w:szCs w:val="24"/>
        </w:rPr>
        <w:t xml:space="preserve"> Paying increased attention to services barriers is an important part of taking a value chain view of trade policy (cf. WEF and World Bank, 2013)</w:t>
      </w:r>
      <w:r w:rsidR="0097792D">
        <w:rPr>
          <w:sz w:val="24"/>
          <w:szCs w:val="24"/>
          <w:lang w:val="en-US"/>
        </w:rPr>
        <w:t xml:space="preserve">. </w:t>
      </w:r>
    </w:p>
    <w:p w14:paraId="451A023D" w14:textId="77777777" w:rsidR="00FC6511" w:rsidRDefault="00FC6511">
      <w:pPr>
        <w:rPr>
          <w:b/>
          <w:i/>
          <w:sz w:val="23"/>
          <w:szCs w:val="23"/>
        </w:rPr>
      </w:pPr>
      <w:r>
        <w:rPr>
          <w:b/>
          <w:i/>
          <w:sz w:val="23"/>
          <w:szCs w:val="23"/>
        </w:rPr>
        <w:br w:type="page"/>
      </w:r>
    </w:p>
    <w:p w14:paraId="11D4AD4A" w14:textId="77777777" w:rsidR="00BC3CCC" w:rsidRPr="008A67E5" w:rsidRDefault="00BC3CCC">
      <w:pPr>
        <w:rPr>
          <w:b/>
          <w:i/>
          <w:sz w:val="24"/>
          <w:szCs w:val="24"/>
        </w:rPr>
      </w:pPr>
      <w:r w:rsidRPr="008A67E5">
        <w:rPr>
          <w:b/>
          <w:i/>
          <w:sz w:val="24"/>
          <w:szCs w:val="24"/>
        </w:rPr>
        <w:lastRenderedPageBreak/>
        <w:t>References</w:t>
      </w:r>
    </w:p>
    <w:p w14:paraId="2708B32C" w14:textId="77777777" w:rsidR="0049774C" w:rsidRPr="008A67E5" w:rsidRDefault="0049774C" w:rsidP="00807D1E">
      <w:pPr>
        <w:jc w:val="both"/>
        <w:rPr>
          <w:sz w:val="24"/>
          <w:szCs w:val="24"/>
        </w:rPr>
      </w:pPr>
      <w:r w:rsidRPr="008A67E5">
        <w:rPr>
          <w:sz w:val="24"/>
          <w:szCs w:val="24"/>
        </w:rPr>
        <w:t xml:space="preserve">Anderson, J., C. Milot and Y. Yotov (2014). </w:t>
      </w:r>
      <w:r w:rsidR="00B9372C" w:rsidRPr="008A67E5">
        <w:rPr>
          <w:sz w:val="24"/>
          <w:szCs w:val="24"/>
        </w:rPr>
        <w:t>How much does geography deflect services trade? Canadian a</w:t>
      </w:r>
      <w:r w:rsidRPr="008A67E5">
        <w:rPr>
          <w:sz w:val="24"/>
          <w:szCs w:val="24"/>
        </w:rPr>
        <w:t xml:space="preserve">nswers. </w:t>
      </w:r>
      <w:r w:rsidRPr="008A67E5">
        <w:rPr>
          <w:i/>
          <w:sz w:val="24"/>
          <w:szCs w:val="24"/>
        </w:rPr>
        <w:t>International Economic Review</w:t>
      </w:r>
      <w:r w:rsidRPr="008A67E5">
        <w:rPr>
          <w:sz w:val="24"/>
          <w:szCs w:val="24"/>
        </w:rPr>
        <w:t xml:space="preserve"> 55</w:t>
      </w:r>
      <w:r w:rsidR="00B9372C" w:rsidRPr="008A67E5">
        <w:rPr>
          <w:sz w:val="24"/>
          <w:szCs w:val="24"/>
        </w:rPr>
        <w:t>(</w:t>
      </w:r>
      <w:r w:rsidRPr="008A67E5">
        <w:rPr>
          <w:sz w:val="24"/>
          <w:szCs w:val="24"/>
        </w:rPr>
        <w:t>3</w:t>
      </w:r>
      <w:r w:rsidR="00B9372C" w:rsidRPr="008A67E5">
        <w:rPr>
          <w:sz w:val="24"/>
          <w:szCs w:val="24"/>
        </w:rPr>
        <w:t>)</w:t>
      </w:r>
      <w:r w:rsidRPr="008A67E5">
        <w:rPr>
          <w:sz w:val="24"/>
          <w:szCs w:val="24"/>
        </w:rPr>
        <w:t>,</w:t>
      </w:r>
      <w:r w:rsidR="00B9372C" w:rsidRPr="008A67E5">
        <w:rPr>
          <w:sz w:val="24"/>
          <w:szCs w:val="24"/>
        </w:rPr>
        <w:t xml:space="preserve"> </w:t>
      </w:r>
      <w:r w:rsidRPr="008A67E5">
        <w:rPr>
          <w:sz w:val="24"/>
          <w:szCs w:val="24"/>
        </w:rPr>
        <w:t>791-818</w:t>
      </w:r>
      <w:r w:rsidR="00B9372C" w:rsidRPr="008A67E5">
        <w:rPr>
          <w:sz w:val="24"/>
          <w:szCs w:val="24"/>
        </w:rPr>
        <w:t>.</w:t>
      </w:r>
    </w:p>
    <w:p w14:paraId="13CE56CF" w14:textId="77777777" w:rsidR="00BF3CCD" w:rsidRPr="008A67E5" w:rsidRDefault="00BF3CCD" w:rsidP="00807D1E">
      <w:pPr>
        <w:jc w:val="both"/>
        <w:rPr>
          <w:sz w:val="24"/>
          <w:szCs w:val="24"/>
        </w:rPr>
      </w:pPr>
      <w:r w:rsidRPr="008A67E5">
        <w:rPr>
          <w:sz w:val="24"/>
          <w:szCs w:val="24"/>
        </w:rPr>
        <w:t xml:space="preserve">Baldwin, R. and A. Venables (2010). Spiders and snakes: Offshoring and agglomeration in the global economy,. </w:t>
      </w:r>
      <w:r w:rsidRPr="008A67E5">
        <w:rPr>
          <w:i/>
          <w:sz w:val="24"/>
          <w:szCs w:val="24"/>
        </w:rPr>
        <w:t>NBER Working Papers</w:t>
      </w:r>
      <w:r w:rsidRPr="008A67E5">
        <w:rPr>
          <w:sz w:val="24"/>
          <w:szCs w:val="24"/>
        </w:rPr>
        <w:t xml:space="preserve"> No. 16611.</w:t>
      </w:r>
    </w:p>
    <w:p w14:paraId="6DE50309" w14:textId="77777777" w:rsidR="0081641A" w:rsidRPr="008A67E5" w:rsidRDefault="0081641A" w:rsidP="00807D1E">
      <w:pPr>
        <w:jc w:val="both"/>
        <w:rPr>
          <w:sz w:val="24"/>
          <w:szCs w:val="24"/>
        </w:rPr>
      </w:pPr>
      <w:r w:rsidRPr="008A67E5">
        <w:rPr>
          <w:sz w:val="24"/>
          <w:szCs w:val="24"/>
        </w:rPr>
        <w:t>Broussol</w:t>
      </w:r>
      <w:r w:rsidR="00D947FD" w:rsidRPr="008A67E5">
        <w:rPr>
          <w:sz w:val="24"/>
          <w:szCs w:val="24"/>
        </w:rPr>
        <w:t>l</w:t>
      </w:r>
      <w:r w:rsidRPr="008A67E5">
        <w:rPr>
          <w:sz w:val="24"/>
          <w:szCs w:val="24"/>
        </w:rPr>
        <w:t xml:space="preserve">e, D. (2014). Service, trade in services and trade of services industries. </w:t>
      </w:r>
      <w:r w:rsidRPr="008A67E5">
        <w:rPr>
          <w:i/>
          <w:sz w:val="24"/>
          <w:szCs w:val="24"/>
        </w:rPr>
        <w:t>Journal of World Trade</w:t>
      </w:r>
      <w:r w:rsidRPr="008A67E5">
        <w:rPr>
          <w:sz w:val="24"/>
          <w:szCs w:val="24"/>
        </w:rPr>
        <w:t xml:space="preserve"> 48(1), 31-58.</w:t>
      </w:r>
    </w:p>
    <w:p w14:paraId="05B2672F" w14:textId="77777777" w:rsidR="004A0138" w:rsidRPr="008A67E5" w:rsidRDefault="004A0138" w:rsidP="00807D1E">
      <w:pPr>
        <w:jc w:val="both"/>
        <w:rPr>
          <w:sz w:val="24"/>
          <w:szCs w:val="24"/>
        </w:rPr>
      </w:pPr>
      <w:r w:rsidRPr="008A67E5">
        <w:rPr>
          <w:sz w:val="24"/>
          <w:szCs w:val="24"/>
        </w:rPr>
        <w:t xml:space="preserve">Cernat, L. and Z. Kutlina-Dimitrova (2014). Thinking in a box: A ‘mode 5’ approach to service trade. </w:t>
      </w:r>
      <w:r w:rsidRPr="008A67E5">
        <w:rPr>
          <w:i/>
          <w:sz w:val="24"/>
          <w:szCs w:val="24"/>
        </w:rPr>
        <w:t>DG Trade Chief Economist Note</w:t>
      </w:r>
      <w:r w:rsidRPr="008A67E5">
        <w:rPr>
          <w:sz w:val="24"/>
          <w:szCs w:val="24"/>
        </w:rPr>
        <w:t xml:space="preserve"> No. 1, March.</w:t>
      </w:r>
    </w:p>
    <w:p w14:paraId="282D33BE" w14:textId="77777777" w:rsidR="004567A2" w:rsidRPr="008A67E5" w:rsidRDefault="004567A2" w:rsidP="00807D1E">
      <w:pPr>
        <w:jc w:val="both"/>
        <w:rPr>
          <w:sz w:val="24"/>
          <w:szCs w:val="24"/>
        </w:rPr>
      </w:pPr>
      <w:r w:rsidRPr="008A67E5">
        <w:rPr>
          <w:sz w:val="24"/>
          <w:szCs w:val="24"/>
        </w:rPr>
        <w:t xml:space="preserve">De Backer, K. and S. Miroudot (2013). Mapping global value chains. </w:t>
      </w:r>
      <w:r w:rsidRPr="008A67E5">
        <w:rPr>
          <w:i/>
          <w:sz w:val="24"/>
          <w:szCs w:val="24"/>
        </w:rPr>
        <w:t>OECD Trade Policy Papers</w:t>
      </w:r>
      <w:r w:rsidRPr="008A67E5">
        <w:rPr>
          <w:sz w:val="24"/>
          <w:szCs w:val="24"/>
        </w:rPr>
        <w:t xml:space="preserve"> No. 159. Paris: OECD Publishing.</w:t>
      </w:r>
    </w:p>
    <w:p w14:paraId="6926C64E" w14:textId="77777777" w:rsidR="00C121D5" w:rsidRPr="008A67E5" w:rsidRDefault="00C121D5" w:rsidP="00807D1E">
      <w:pPr>
        <w:jc w:val="both"/>
        <w:rPr>
          <w:sz w:val="24"/>
          <w:szCs w:val="24"/>
        </w:rPr>
      </w:pPr>
      <w:r w:rsidRPr="006E346C">
        <w:rPr>
          <w:sz w:val="24"/>
          <w:szCs w:val="24"/>
          <w:lang w:val="en-US"/>
        </w:rPr>
        <w:t xml:space="preserve">Demirkan, H., J. Spohrer and V. Krishna (eds) (2011). </w:t>
      </w:r>
      <w:r w:rsidRPr="008A67E5">
        <w:rPr>
          <w:i/>
          <w:sz w:val="24"/>
          <w:szCs w:val="24"/>
        </w:rPr>
        <w:t>The Science of Service Systems</w:t>
      </w:r>
      <w:r w:rsidRPr="008A67E5">
        <w:rPr>
          <w:sz w:val="24"/>
          <w:szCs w:val="24"/>
        </w:rPr>
        <w:t>. New York: Springer.</w:t>
      </w:r>
    </w:p>
    <w:p w14:paraId="0F9286B7" w14:textId="77777777" w:rsidR="004567A2" w:rsidRPr="008A67E5" w:rsidRDefault="00AF2FC1" w:rsidP="00807D1E">
      <w:pPr>
        <w:jc w:val="both"/>
        <w:rPr>
          <w:sz w:val="24"/>
          <w:szCs w:val="24"/>
        </w:rPr>
      </w:pPr>
      <w:r w:rsidRPr="008A67E5">
        <w:rPr>
          <w:sz w:val="24"/>
          <w:szCs w:val="24"/>
        </w:rPr>
        <w:t xml:space="preserve">Gereffi, G. and K. Fernandez-Stark (2010). The offshore services value chain: Developing countries and the crisis. In: O. Cattaneo, G. Gereffi and C. Staritz (eds.), </w:t>
      </w:r>
      <w:r w:rsidRPr="008A67E5">
        <w:rPr>
          <w:i/>
          <w:sz w:val="24"/>
          <w:szCs w:val="24"/>
        </w:rPr>
        <w:t>Global Value Chains in a Postcrisis World: A Development Perspective</w:t>
      </w:r>
      <w:r w:rsidRPr="008A67E5">
        <w:rPr>
          <w:sz w:val="24"/>
          <w:szCs w:val="24"/>
        </w:rPr>
        <w:t xml:space="preserve">, Washington DC: The World Bank, </w:t>
      </w:r>
      <w:r w:rsidR="00F453CE" w:rsidRPr="008A67E5">
        <w:rPr>
          <w:sz w:val="24"/>
          <w:szCs w:val="24"/>
        </w:rPr>
        <w:t>335-372</w:t>
      </w:r>
      <w:r w:rsidRPr="008A67E5">
        <w:rPr>
          <w:sz w:val="24"/>
          <w:szCs w:val="24"/>
        </w:rPr>
        <w:t>.</w:t>
      </w:r>
    </w:p>
    <w:p w14:paraId="0346CEEF" w14:textId="77777777" w:rsidR="00AD101A" w:rsidRPr="008A67E5" w:rsidRDefault="00AD101A" w:rsidP="00807D1E">
      <w:pPr>
        <w:jc w:val="both"/>
        <w:rPr>
          <w:sz w:val="24"/>
          <w:szCs w:val="24"/>
        </w:rPr>
      </w:pPr>
      <w:r w:rsidRPr="008A67E5">
        <w:rPr>
          <w:sz w:val="24"/>
          <w:szCs w:val="24"/>
        </w:rPr>
        <w:t xml:space="preserve">Head, K. and J. Ries (2001). “Increasing returns versus national product differentiation as an explanation for the pattern of US-Canada trade”, </w:t>
      </w:r>
      <w:r w:rsidRPr="008A67E5">
        <w:rPr>
          <w:i/>
          <w:sz w:val="24"/>
          <w:szCs w:val="24"/>
        </w:rPr>
        <w:t>American Economic Review</w:t>
      </w:r>
      <w:r w:rsidRPr="008A67E5">
        <w:rPr>
          <w:sz w:val="24"/>
          <w:szCs w:val="24"/>
        </w:rPr>
        <w:t xml:space="preserve"> 91(4), 858-876.</w:t>
      </w:r>
    </w:p>
    <w:p w14:paraId="4E7D5FFE" w14:textId="77777777" w:rsidR="00D35FAC" w:rsidRPr="008A67E5" w:rsidRDefault="00D35FAC" w:rsidP="00807D1E">
      <w:pPr>
        <w:jc w:val="both"/>
        <w:rPr>
          <w:sz w:val="24"/>
          <w:szCs w:val="24"/>
        </w:rPr>
      </w:pPr>
      <w:r w:rsidRPr="008A67E5">
        <w:rPr>
          <w:sz w:val="24"/>
          <w:szCs w:val="24"/>
        </w:rPr>
        <w:t xml:space="preserve">Johnson, R. and G. Noguera (2012). “Accounting for intermediates: Production sharing and trade in value added”, </w:t>
      </w:r>
      <w:r w:rsidRPr="008A67E5">
        <w:rPr>
          <w:i/>
          <w:sz w:val="24"/>
          <w:szCs w:val="24"/>
        </w:rPr>
        <w:t>Journal of International Economics</w:t>
      </w:r>
      <w:r w:rsidRPr="008A67E5">
        <w:rPr>
          <w:sz w:val="24"/>
          <w:szCs w:val="24"/>
        </w:rPr>
        <w:t xml:space="preserve"> 82(2), 224-236.</w:t>
      </w:r>
    </w:p>
    <w:p w14:paraId="3AD883D2" w14:textId="77777777" w:rsidR="00C121D5" w:rsidRDefault="00C121D5" w:rsidP="00807D1E">
      <w:pPr>
        <w:jc w:val="both"/>
        <w:rPr>
          <w:sz w:val="24"/>
          <w:szCs w:val="24"/>
        </w:rPr>
      </w:pPr>
      <w:r w:rsidRPr="008A67E5">
        <w:rPr>
          <w:sz w:val="24"/>
          <w:szCs w:val="24"/>
        </w:rPr>
        <w:t xml:space="preserve">Jones, R. and H. Kierzkowski (2001). A framework for fragmentation. In: S. Arndt and H. Kierzkowski (eds), </w:t>
      </w:r>
      <w:r w:rsidRPr="008A67E5">
        <w:rPr>
          <w:i/>
          <w:sz w:val="24"/>
          <w:szCs w:val="24"/>
        </w:rPr>
        <w:t>Fragmentation: New Production Patterns in the World Economy</w:t>
      </w:r>
      <w:r w:rsidRPr="008A67E5">
        <w:rPr>
          <w:sz w:val="24"/>
          <w:szCs w:val="24"/>
        </w:rPr>
        <w:t>, New York: Oxford University Press, 17-34.</w:t>
      </w:r>
    </w:p>
    <w:p w14:paraId="6B77C7DB" w14:textId="5C297628" w:rsidR="00A71DFC" w:rsidRPr="008A67E5" w:rsidRDefault="00A71DFC" w:rsidP="00807D1E">
      <w:pPr>
        <w:jc w:val="both"/>
        <w:rPr>
          <w:sz w:val="24"/>
          <w:szCs w:val="24"/>
        </w:rPr>
      </w:pPr>
      <w:r w:rsidRPr="006E346C">
        <w:rPr>
          <w:sz w:val="24"/>
          <w:szCs w:val="24"/>
          <w:lang w:val="de-CH"/>
        </w:rPr>
        <w:t xml:space="preserve">Koopman, R., Z. Wang and S.-J. Wei (2014). </w:t>
      </w:r>
      <w:r>
        <w:rPr>
          <w:sz w:val="24"/>
          <w:szCs w:val="24"/>
        </w:rPr>
        <w:t xml:space="preserve">“Tracing Value Added and Double Counting in Gross Exports”, </w:t>
      </w:r>
      <w:r>
        <w:rPr>
          <w:i/>
          <w:sz w:val="24"/>
          <w:szCs w:val="24"/>
        </w:rPr>
        <w:t>American Economic Review</w:t>
      </w:r>
      <w:r>
        <w:rPr>
          <w:sz w:val="24"/>
          <w:szCs w:val="24"/>
        </w:rPr>
        <w:t xml:space="preserve"> 104(2), 459-494.</w:t>
      </w:r>
    </w:p>
    <w:p w14:paraId="1F45D307" w14:textId="77777777" w:rsidR="00197C2D" w:rsidRPr="008A67E5" w:rsidRDefault="00197C2D" w:rsidP="00807D1E">
      <w:pPr>
        <w:jc w:val="both"/>
        <w:rPr>
          <w:sz w:val="24"/>
          <w:szCs w:val="24"/>
        </w:rPr>
      </w:pPr>
      <w:r w:rsidRPr="008A67E5">
        <w:rPr>
          <w:sz w:val="24"/>
          <w:szCs w:val="24"/>
        </w:rPr>
        <w:t>Low, P. (2013). The role of services in global value chains. Real Sector Working Paper, Fung Global Institute.</w:t>
      </w:r>
    </w:p>
    <w:p w14:paraId="54BD6ECF" w14:textId="77777777" w:rsidR="00EF07AB" w:rsidRPr="008A67E5" w:rsidRDefault="00EF07AB" w:rsidP="00807D1E">
      <w:pPr>
        <w:jc w:val="both"/>
        <w:rPr>
          <w:sz w:val="24"/>
          <w:szCs w:val="24"/>
        </w:rPr>
      </w:pPr>
      <w:r w:rsidRPr="008A67E5">
        <w:rPr>
          <w:sz w:val="24"/>
          <w:szCs w:val="24"/>
        </w:rPr>
        <w:t xml:space="preserve">van der Marel, E., B. Shepherd (2013). Services trade, regulation, and regional integration: Evidence from sectoral data. </w:t>
      </w:r>
      <w:r w:rsidRPr="008A67E5">
        <w:rPr>
          <w:i/>
          <w:sz w:val="24"/>
          <w:szCs w:val="24"/>
        </w:rPr>
        <w:t>World Economy</w:t>
      </w:r>
      <w:r w:rsidRPr="008A67E5">
        <w:rPr>
          <w:sz w:val="24"/>
          <w:szCs w:val="24"/>
        </w:rPr>
        <w:t xml:space="preserve"> 36(11), 1393-1405.</w:t>
      </w:r>
    </w:p>
    <w:p w14:paraId="0250EF0B" w14:textId="77777777" w:rsidR="002A281A" w:rsidRPr="008A67E5" w:rsidRDefault="002A281A" w:rsidP="00807D1E">
      <w:pPr>
        <w:jc w:val="both"/>
        <w:rPr>
          <w:sz w:val="24"/>
          <w:szCs w:val="24"/>
        </w:rPr>
      </w:pPr>
      <w:r w:rsidRPr="008A67E5">
        <w:rPr>
          <w:sz w:val="24"/>
          <w:szCs w:val="24"/>
        </w:rPr>
        <w:t>Miroudot, S., J. Sauvage and B. Shepherd (2013</w:t>
      </w:r>
      <w:r w:rsidR="004A0138" w:rsidRPr="008A67E5">
        <w:rPr>
          <w:sz w:val="24"/>
          <w:szCs w:val="24"/>
        </w:rPr>
        <w:t>a</w:t>
      </w:r>
      <w:r w:rsidRPr="008A67E5">
        <w:rPr>
          <w:sz w:val="24"/>
          <w:szCs w:val="24"/>
        </w:rPr>
        <w:t xml:space="preserve">). Measuring the cost of international trade in services. </w:t>
      </w:r>
      <w:r w:rsidRPr="008A67E5">
        <w:rPr>
          <w:i/>
          <w:sz w:val="24"/>
          <w:szCs w:val="24"/>
        </w:rPr>
        <w:t xml:space="preserve">World Trade Review </w:t>
      </w:r>
      <w:r w:rsidRPr="008A67E5">
        <w:rPr>
          <w:sz w:val="24"/>
          <w:szCs w:val="24"/>
        </w:rPr>
        <w:t>12(4), 719-735.</w:t>
      </w:r>
    </w:p>
    <w:p w14:paraId="75EF256D" w14:textId="77777777" w:rsidR="004A0138" w:rsidRPr="008A67E5" w:rsidRDefault="004A0138" w:rsidP="00807D1E">
      <w:pPr>
        <w:jc w:val="both"/>
        <w:rPr>
          <w:sz w:val="24"/>
          <w:szCs w:val="24"/>
        </w:rPr>
      </w:pPr>
      <w:r w:rsidRPr="008A67E5">
        <w:rPr>
          <w:sz w:val="24"/>
          <w:szCs w:val="24"/>
        </w:rPr>
        <w:lastRenderedPageBreak/>
        <w:t xml:space="preserve">Miroudot, S., D. Rouzet and F. Spinelli (2013b). Trade Policy Implications of Global Value Chains. Case studies. </w:t>
      </w:r>
      <w:r w:rsidRPr="008A67E5">
        <w:rPr>
          <w:i/>
          <w:sz w:val="24"/>
          <w:szCs w:val="24"/>
        </w:rPr>
        <w:t xml:space="preserve">OECD Trade Policy Paper </w:t>
      </w:r>
      <w:r w:rsidRPr="008A67E5">
        <w:rPr>
          <w:sz w:val="24"/>
          <w:szCs w:val="24"/>
        </w:rPr>
        <w:t xml:space="preserve">No. 161. Paris: OECD Publishing. </w:t>
      </w:r>
    </w:p>
    <w:p w14:paraId="727BBBC9" w14:textId="77777777" w:rsidR="00807D1E" w:rsidRPr="008A67E5" w:rsidRDefault="00807D1E" w:rsidP="00807D1E">
      <w:pPr>
        <w:jc w:val="both"/>
        <w:rPr>
          <w:sz w:val="24"/>
          <w:szCs w:val="24"/>
        </w:rPr>
      </w:pPr>
      <w:r w:rsidRPr="008A67E5">
        <w:rPr>
          <w:sz w:val="24"/>
          <w:szCs w:val="24"/>
        </w:rPr>
        <w:t xml:space="preserve">National Board of Trade (2012). Everybody is in services. The Impact of servicification in manufacturing on trade and trade policy. </w:t>
      </w:r>
      <w:r w:rsidRPr="008A67E5">
        <w:rPr>
          <w:i/>
          <w:sz w:val="24"/>
          <w:szCs w:val="24"/>
        </w:rPr>
        <w:t>Kommerskollegium</w:t>
      </w:r>
      <w:r w:rsidRPr="008A67E5">
        <w:rPr>
          <w:sz w:val="24"/>
          <w:szCs w:val="24"/>
        </w:rPr>
        <w:t xml:space="preserve"> 2012:6. Stockholm: National Board of Trade.</w:t>
      </w:r>
    </w:p>
    <w:p w14:paraId="0FE0023D" w14:textId="77777777" w:rsidR="00D35FAC" w:rsidRPr="008A67E5" w:rsidRDefault="00D35FAC" w:rsidP="00807D1E">
      <w:pPr>
        <w:jc w:val="both"/>
        <w:rPr>
          <w:sz w:val="24"/>
          <w:szCs w:val="24"/>
        </w:rPr>
      </w:pPr>
      <w:r w:rsidRPr="008A67E5">
        <w:rPr>
          <w:sz w:val="24"/>
          <w:szCs w:val="24"/>
        </w:rPr>
        <w:t>Noguera, G. (2012). “Trade costs and gravity for gross and value added trade”, job market paper, UC Berkely and Columbia University.</w:t>
      </w:r>
    </w:p>
    <w:p w14:paraId="1FC28726" w14:textId="77777777" w:rsidR="0005652B" w:rsidRPr="008A67E5" w:rsidRDefault="0005652B" w:rsidP="00807D1E">
      <w:pPr>
        <w:jc w:val="both"/>
        <w:rPr>
          <w:sz w:val="24"/>
          <w:szCs w:val="24"/>
        </w:rPr>
      </w:pPr>
      <w:r w:rsidRPr="008A67E5">
        <w:rPr>
          <w:sz w:val="24"/>
          <w:szCs w:val="24"/>
        </w:rPr>
        <w:t xml:space="preserve">Novy, D. (2013). Gravity redux: Measuring international trade costs with panel data. </w:t>
      </w:r>
      <w:r w:rsidRPr="008A67E5">
        <w:rPr>
          <w:i/>
          <w:sz w:val="24"/>
          <w:szCs w:val="24"/>
        </w:rPr>
        <w:t xml:space="preserve">Economic Inquiry </w:t>
      </w:r>
      <w:r w:rsidRPr="008A67E5">
        <w:rPr>
          <w:sz w:val="24"/>
          <w:szCs w:val="24"/>
        </w:rPr>
        <w:t>51(1), 101-121.</w:t>
      </w:r>
    </w:p>
    <w:p w14:paraId="04C77DFF" w14:textId="77777777" w:rsidR="00EF07AB" w:rsidRPr="008A67E5" w:rsidRDefault="00EF07AB" w:rsidP="00807D1E">
      <w:pPr>
        <w:jc w:val="both"/>
        <w:rPr>
          <w:sz w:val="24"/>
          <w:szCs w:val="24"/>
        </w:rPr>
      </w:pPr>
      <w:r w:rsidRPr="008A67E5">
        <w:rPr>
          <w:sz w:val="24"/>
          <w:szCs w:val="24"/>
        </w:rPr>
        <w:t xml:space="preserve">Novy, D., N. Chen (2011). Gravity, trade integration, and heterogeneity across industries. </w:t>
      </w:r>
      <w:r w:rsidRPr="008A67E5">
        <w:rPr>
          <w:i/>
          <w:sz w:val="24"/>
          <w:szCs w:val="24"/>
        </w:rPr>
        <w:t>Journal of International Economics</w:t>
      </w:r>
      <w:r w:rsidRPr="008A67E5">
        <w:rPr>
          <w:sz w:val="24"/>
          <w:szCs w:val="24"/>
        </w:rPr>
        <w:t xml:space="preserve"> 85(2), 206-221.</w:t>
      </w:r>
    </w:p>
    <w:p w14:paraId="74395429" w14:textId="77777777" w:rsidR="00D91C60" w:rsidRPr="008A67E5" w:rsidRDefault="00D91C60" w:rsidP="00807D1E">
      <w:pPr>
        <w:jc w:val="both"/>
        <w:rPr>
          <w:sz w:val="24"/>
          <w:szCs w:val="24"/>
        </w:rPr>
      </w:pPr>
      <w:r w:rsidRPr="008A67E5">
        <w:rPr>
          <w:sz w:val="24"/>
          <w:szCs w:val="24"/>
        </w:rPr>
        <w:t xml:space="preserve">Organisation for Economic Co-operation and Development (2013). </w:t>
      </w:r>
      <w:r w:rsidRPr="008A67E5">
        <w:rPr>
          <w:i/>
          <w:sz w:val="24"/>
          <w:szCs w:val="24"/>
        </w:rPr>
        <w:t>Interconnected Economies. Benefiting from Global Value Chains</w:t>
      </w:r>
      <w:r w:rsidRPr="008A67E5">
        <w:rPr>
          <w:sz w:val="24"/>
          <w:szCs w:val="24"/>
        </w:rPr>
        <w:t>. Paris: OECD Publishing.</w:t>
      </w:r>
    </w:p>
    <w:p w14:paraId="0939825B" w14:textId="2233FA0F" w:rsidR="00F91F95" w:rsidRDefault="00F91F95" w:rsidP="00807D1E">
      <w:pPr>
        <w:jc w:val="both"/>
        <w:rPr>
          <w:sz w:val="24"/>
          <w:szCs w:val="24"/>
        </w:rPr>
      </w:pPr>
      <w:r w:rsidRPr="008A67E5">
        <w:rPr>
          <w:sz w:val="24"/>
          <w:szCs w:val="24"/>
        </w:rPr>
        <w:t xml:space="preserve">Santos Silva, J., S. Tenreyro (2006). The log of gravity. </w:t>
      </w:r>
      <w:r w:rsidRPr="008A67E5">
        <w:rPr>
          <w:i/>
          <w:sz w:val="24"/>
          <w:szCs w:val="24"/>
        </w:rPr>
        <w:t>Review of Economics and Statistics</w:t>
      </w:r>
      <w:r w:rsidRPr="008A67E5">
        <w:rPr>
          <w:sz w:val="24"/>
          <w:szCs w:val="24"/>
        </w:rPr>
        <w:t xml:space="preserve"> 88(4), 641-658.</w:t>
      </w:r>
    </w:p>
    <w:p w14:paraId="32B35883" w14:textId="4F729A82" w:rsidR="00ED3CDD" w:rsidRPr="00366A24" w:rsidRDefault="00ED3CDD" w:rsidP="00807D1E">
      <w:pPr>
        <w:jc w:val="both"/>
        <w:rPr>
          <w:sz w:val="24"/>
          <w:szCs w:val="24"/>
          <w:lang w:val="fr-FR"/>
        </w:rPr>
      </w:pPr>
      <w:r>
        <w:rPr>
          <w:sz w:val="24"/>
          <w:szCs w:val="24"/>
        </w:rPr>
        <w:t xml:space="preserve">Shepherd, B., O. Cattaneo (2014). </w:t>
      </w:r>
      <w:r w:rsidR="00D127F5">
        <w:rPr>
          <w:sz w:val="24"/>
          <w:szCs w:val="24"/>
        </w:rPr>
        <w:t xml:space="preserve">Quantitative Analysis of Value Chain Strength in the APEC Region. </w:t>
      </w:r>
      <w:r w:rsidR="00D127F5" w:rsidRPr="00366A24">
        <w:rPr>
          <w:sz w:val="24"/>
          <w:szCs w:val="24"/>
          <w:lang w:val="fr-FR"/>
        </w:rPr>
        <w:t>APEC Publication No. 214-SE-01.27.</w:t>
      </w:r>
    </w:p>
    <w:p w14:paraId="565E8F65" w14:textId="77777777" w:rsidR="00496556" w:rsidRPr="008A67E5" w:rsidRDefault="00496556" w:rsidP="00807D1E">
      <w:pPr>
        <w:jc w:val="both"/>
        <w:rPr>
          <w:sz w:val="24"/>
          <w:szCs w:val="24"/>
        </w:rPr>
      </w:pPr>
      <w:r w:rsidRPr="00A35AA6">
        <w:rPr>
          <w:sz w:val="24"/>
          <w:szCs w:val="24"/>
          <w:lang w:val="de-CH"/>
        </w:rPr>
        <w:t xml:space="preserve">Timmer, M., E. Dietzenbacher, B. Los, R. Stehrer, G. de Vries (2014). </w:t>
      </w:r>
      <w:r w:rsidRPr="008A67E5">
        <w:rPr>
          <w:sz w:val="24"/>
          <w:szCs w:val="24"/>
        </w:rPr>
        <w:t xml:space="preserve">The World Input-Output Database : Content, concepts and applications. </w:t>
      </w:r>
      <w:r w:rsidRPr="008A67E5">
        <w:rPr>
          <w:i/>
          <w:sz w:val="24"/>
          <w:szCs w:val="24"/>
        </w:rPr>
        <w:t>Groningen Growth and Development Centre Research Memorandum</w:t>
      </w:r>
      <w:r w:rsidRPr="008A67E5">
        <w:rPr>
          <w:sz w:val="24"/>
          <w:szCs w:val="24"/>
        </w:rPr>
        <w:t xml:space="preserve"> 144. Groningen: University of Groningen.</w:t>
      </w:r>
    </w:p>
    <w:p w14:paraId="04B0021E" w14:textId="77777777" w:rsidR="00D35FAC" w:rsidRDefault="00D35FAC" w:rsidP="00807D1E">
      <w:pPr>
        <w:jc w:val="both"/>
        <w:rPr>
          <w:sz w:val="24"/>
          <w:szCs w:val="24"/>
        </w:rPr>
      </w:pPr>
      <w:r w:rsidRPr="008A67E5">
        <w:rPr>
          <w:sz w:val="24"/>
          <w:szCs w:val="24"/>
        </w:rPr>
        <w:t xml:space="preserve">Walsh, K. (2008). “Trade in services: Does gravity hold?”, </w:t>
      </w:r>
      <w:r w:rsidRPr="008A67E5">
        <w:rPr>
          <w:i/>
          <w:sz w:val="24"/>
          <w:szCs w:val="24"/>
        </w:rPr>
        <w:t xml:space="preserve">Journal of World Trade </w:t>
      </w:r>
      <w:r w:rsidRPr="008A67E5">
        <w:rPr>
          <w:sz w:val="24"/>
          <w:szCs w:val="24"/>
        </w:rPr>
        <w:t>42(2), 315-334.</w:t>
      </w:r>
    </w:p>
    <w:p w14:paraId="29D9B4FA" w14:textId="2A41A3E1" w:rsidR="0097792D" w:rsidRPr="008A67E5" w:rsidRDefault="0097792D" w:rsidP="00807D1E">
      <w:pPr>
        <w:jc w:val="both"/>
        <w:rPr>
          <w:sz w:val="24"/>
          <w:szCs w:val="24"/>
        </w:rPr>
      </w:pPr>
      <w:r>
        <w:rPr>
          <w:sz w:val="24"/>
          <w:szCs w:val="24"/>
        </w:rPr>
        <w:t xml:space="preserve">WEF, World Bank (2013). </w:t>
      </w:r>
      <w:r>
        <w:rPr>
          <w:i/>
          <w:sz w:val="24"/>
          <w:szCs w:val="24"/>
        </w:rPr>
        <w:t>Enabling Trade: Valuing Growth Opportunities</w:t>
      </w:r>
      <w:r>
        <w:rPr>
          <w:sz w:val="24"/>
          <w:szCs w:val="24"/>
        </w:rPr>
        <w:t>. Geneva: WEF.</w:t>
      </w:r>
    </w:p>
    <w:sectPr w:rsidR="0097792D" w:rsidRPr="008A67E5" w:rsidSect="0025077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15683" w14:textId="77777777" w:rsidR="009139F3" w:rsidRDefault="009139F3" w:rsidP="00250777">
      <w:pPr>
        <w:spacing w:after="0" w:line="240" w:lineRule="auto"/>
      </w:pPr>
      <w:r>
        <w:separator/>
      </w:r>
    </w:p>
  </w:endnote>
  <w:endnote w:type="continuationSeparator" w:id="0">
    <w:p w14:paraId="13280E7A" w14:textId="77777777" w:rsidR="009139F3" w:rsidRDefault="009139F3" w:rsidP="0025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altName w:val="굴림"/>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159310"/>
      <w:docPartObj>
        <w:docPartGallery w:val="Page Numbers (Bottom of Page)"/>
        <w:docPartUnique/>
      </w:docPartObj>
    </w:sdtPr>
    <w:sdtEndPr>
      <w:rPr>
        <w:noProof/>
      </w:rPr>
    </w:sdtEndPr>
    <w:sdtContent>
      <w:p w14:paraId="5B4C1243" w14:textId="77777777" w:rsidR="009139F3" w:rsidRDefault="009139F3">
        <w:pPr>
          <w:pStyle w:val="Footer"/>
          <w:jc w:val="center"/>
        </w:pPr>
        <w:r>
          <w:fldChar w:fldCharType="begin"/>
        </w:r>
        <w:r>
          <w:instrText xml:space="preserve"> PAGE   \* MERGEFORMAT </w:instrText>
        </w:r>
        <w:r>
          <w:fldChar w:fldCharType="separate"/>
        </w:r>
        <w:r w:rsidR="00366A24">
          <w:rPr>
            <w:noProof/>
          </w:rPr>
          <w:t>21</w:t>
        </w:r>
        <w:r>
          <w:rPr>
            <w:noProof/>
          </w:rPr>
          <w:fldChar w:fldCharType="end"/>
        </w:r>
      </w:p>
    </w:sdtContent>
  </w:sdt>
  <w:p w14:paraId="10657E4B" w14:textId="77777777" w:rsidR="009139F3" w:rsidRDefault="009139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94F63" w14:textId="77777777" w:rsidR="009139F3" w:rsidRDefault="009139F3" w:rsidP="00250777">
      <w:pPr>
        <w:spacing w:after="0" w:line="240" w:lineRule="auto"/>
      </w:pPr>
      <w:r>
        <w:separator/>
      </w:r>
    </w:p>
  </w:footnote>
  <w:footnote w:type="continuationSeparator" w:id="0">
    <w:p w14:paraId="244DE510" w14:textId="77777777" w:rsidR="009139F3" w:rsidRDefault="009139F3" w:rsidP="00250777">
      <w:pPr>
        <w:spacing w:after="0" w:line="240" w:lineRule="auto"/>
      </w:pPr>
      <w:r>
        <w:continuationSeparator/>
      </w:r>
    </w:p>
  </w:footnote>
  <w:footnote w:id="1">
    <w:p w14:paraId="0CF48E7F" w14:textId="1CEEE4FD" w:rsidR="009139F3" w:rsidRDefault="009139F3">
      <w:pPr>
        <w:pStyle w:val="FootnoteText"/>
      </w:pPr>
      <w:r>
        <w:rPr>
          <w:rStyle w:val="FootnoteReference"/>
        </w:rPr>
        <w:footnoteRef/>
      </w:r>
      <w:r>
        <w:t xml:space="preserve"> The model extends Anderson and van Wincoop (2003) by adding an intermediate goods composite which is used to produce final goods and other intermediates in combination with domestic value added. Households have constant elasticity of substitution (CES) preferences defined over final goods and firms combine varieties of domestic and foreign intermediates also via a CES aggregator. See Noguera (2012) for the details of the model and its assumptions.</w:t>
      </w:r>
    </w:p>
  </w:footnote>
  <w:footnote w:id="2">
    <w:p w14:paraId="233DAE18" w14:textId="77777777" w:rsidR="009139F3" w:rsidRPr="0080697A" w:rsidRDefault="009139F3">
      <w:pPr>
        <w:pStyle w:val="FootnoteText"/>
      </w:pPr>
      <w:r>
        <w:rPr>
          <w:rStyle w:val="FootnoteReference"/>
        </w:rPr>
        <w:footnoteRef/>
      </w:r>
      <w:r>
        <w:t xml:space="preserve"> </w:t>
      </w:r>
      <w:r w:rsidRPr="0080697A">
        <w:t>When looking at the evolution of trade costs over time or when looking at</w:t>
      </w:r>
      <w:r>
        <w:t xml:space="preserve"> the change in bilateral trade, the value of </w:t>
      </w:r>
      <m:oMath>
        <m:r>
          <w:rPr>
            <w:rFonts w:ascii="Cambria Math" w:hAnsi="Cambria Math"/>
          </w:rPr>
          <m:t>σ</m:t>
        </m:r>
      </m:oMath>
      <w:r>
        <w:t xml:space="preserve"> does not matter, as pointed out by Novy (2013) and Noguera (2012). This is why we don’t need to worry about this simplification.</w:t>
      </w:r>
    </w:p>
  </w:footnote>
  <w:footnote w:id="3">
    <w:p w14:paraId="1CD1F92E" w14:textId="6B9F2524" w:rsidR="009139F3" w:rsidRPr="00366A24" w:rsidRDefault="009139F3">
      <w:pPr>
        <w:pStyle w:val="FootnoteText"/>
        <w:rPr>
          <w:lang w:val="en-US"/>
        </w:rPr>
      </w:pPr>
      <w:r>
        <w:rPr>
          <w:rStyle w:val="FootnoteReference"/>
        </w:rPr>
        <w:footnoteRef/>
      </w:r>
      <w:r>
        <w:t xml:space="preserve"> </w:t>
      </w:r>
      <w:r>
        <w:rPr>
          <w:lang w:val="en-US"/>
        </w:rPr>
        <w:t>Trade costs for pure cross-border services trade are estimated to be high because many services still require proximity of producers and consumers. Although information and communication technologies have lessened that effect in some sectors, their impacts are by no means homogeneous from one activity to another. In addition, services trade costs are elevated due to factors like regulatory heterogeneity, which make it more difficult to do business abroad than at home for services firms. Research on the sources of trade costs in services sectors, and their relative importance, is ongoing.</w:t>
      </w:r>
    </w:p>
  </w:footnote>
  <w:footnote w:id="4">
    <w:p w14:paraId="62D0739B" w14:textId="63120AE6" w:rsidR="009139F3" w:rsidRPr="00366A24" w:rsidRDefault="009139F3">
      <w:pPr>
        <w:pStyle w:val="FootnoteText"/>
        <w:rPr>
          <w:lang w:val="en-US"/>
        </w:rPr>
      </w:pPr>
      <w:r>
        <w:rPr>
          <w:rStyle w:val="FootnoteReference"/>
        </w:rPr>
        <w:footnoteRef/>
      </w:r>
      <w:r>
        <w:t xml:space="preserve"> Those </w:t>
      </w:r>
      <w:r w:rsidRPr="009D25B1">
        <w:t xml:space="preserve">authors </w:t>
      </w:r>
      <w:r w:rsidRPr="00366A24">
        <w:t>show that heteroskedasticity in the error term—which is highly likely in practice—leads not only to inconsistency of the estimated standard errors, as in a typical linear model, but also to inconsistency of the parameter estimates. The authors provide a compelling case for the use of the Poisson pseudo-maximum likelihood (PPML) estimator as an alternative to OLS. PPML is consistent under weak assumptions. In particular, it can easily be adjusted to be fully robust to heteroskedasticity, and as a PML estimator, it does not require that the data are in fact distributed as Poisson</w:t>
      </w:r>
      <w:r w:rsidRPr="009D25B1">
        <w:rPr>
          <w:rStyle w:val="CommentReference"/>
          <w:sz w:val="20"/>
          <w:szCs w:val="20"/>
        </w:rPr>
        <w:annotationRef/>
      </w:r>
      <w:r w:rsidRPr="00366A24">
        <w:t>; all that is necessary for consistency is that the conditional mean function is correctly specified.</w:t>
      </w:r>
    </w:p>
  </w:footnote>
  <w:footnote w:id="5">
    <w:p w14:paraId="5A11E3B2" w14:textId="3FE80056" w:rsidR="009139F3" w:rsidRPr="005269AB" w:rsidRDefault="009139F3">
      <w:pPr>
        <w:pStyle w:val="FootnoteText"/>
      </w:pPr>
      <w:r>
        <w:rPr>
          <w:rStyle w:val="FootnoteReference"/>
        </w:rPr>
        <w:footnoteRef/>
      </w:r>
      <w:r>
        <w:t xml:space="preserve"> </w:t>
      </w:r>
      <w:r w:rsidRPr="00366A24">
        <w:t>But there is cross-border trade in construction services because the provision of the service through commercial presence (Mode 3) when the duratio</w:t>
      </w:r>
      <w:r>
        <w:t>n of the contract is less than one year is regarded as cross-border. In addition, some services included in construction, such as plumbing, interior design, repair and installation, are provided through Mode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3E"/>
    <w:rsid w:val="00000CED"/>
    <w:rsid w:val="00010C35"/>
    <w:rsid w:val="000267B5"/>
    <w:rsid w:val="00045A18"/>
    <w:rsid w:val="0005652B"/>
    <w:rsid w:val="0009215F"/>
    <w:rsid w:val="00094BB7"/>
    <w:rsid w:val="000A1398"/>
    <w:rsid w:val="000A7C6E"/>
    <w:rsid w:val="000B1E22"/>
    <w:rsid w:val="000C2CF3"/>
    <w:rsid w:val="000C6B4B"/>
    <w:rsid w:val="000D10C0"/>
    <w:rsid w:val="000F17CB"/>
    <w:rsid w:val="000F2F67"/>
    <w:rsid w:val="00107FFD"/>
    <w:rsid w:val="00113CAB"/>
    <w:rsid w:val="00165B2B"/>
    <w:rsid w:val="001750CA"/>
    <w:rsid w:val="001858A6"/>
    <w:rsid w:val="00185EA7"/>
    <w:rsid w:val="00197C2D"/>
    <w:rsid w:val="001C5E61"/>
    <w:rsid w:val="001D54BD"/>
    <w:rsid w:val="001D6CAC"/>
    <w:rsid w:val="0020094C"/>
    <w:rsid w:val="00202B85"/>
    <w:rsid w:val="00207C86"/>
    <w:rsid w:val="002135D0"/>
    <w:rsid w:val="002163DE"/>
    <w:rsid w:val="0023271C"/>
    <w:rsid w:val="00250777"/>
    <w:rsid w:val="0025599A"/>
    <w:rsid w:val="002615BE"/>
    <w:rsid w:val="0026412A"/>
    <w:rsid w:val="0028464A"/>
    <w:rsid w:val="002870AF"/>
    <w:rsid w:val="0029080C"/>
    <w:rsid w:val="002A281A"/>
    <w:rsid w:val="002C0148"/>
    <w:rsid w:val="002C43A3"/>
    <w:rsid w:val="0030188A"/>
    <w:rsid w:val="00302176"/>
    <w:rsid w:val="00311051"/>
    <w:rsid w:val="00316019"/>
    <w:rsid w:val="00332595"/>
    <w:rsid w:val="0034239F"/>
    <w:rsid w:val="003559F2"/>
    <w:rsid w:val="00355BDF"/>
    <w:rsid w:val="00366A24"/>
    <w:rsid w:val="003724B3"/>
    <w:rsid w:val="003814A1"/>
    <w:rsid w:val="00385FC9"/>
    <w:rsid w:val="003C257D"/>
    <w:rsid w:val="003C3777"/>
    <w:rsid w:val="003C7036"/>
    <w:rsid w:val="003F580C"/>
    <w:rsid w:val="00416201"/>
    <w:rsid w:val="00425F37"/>
    <w:rsid w:val="004567A2"/>
    <w:rsid w:val="00460238"/>
    <w:rsid w:val="00472F3A"/>
    <w:rsid w:val="00477D08"/>
    <w:rsid w:val="00496556"/>
    <w:rsid w:val="0049774C"/>
    <w:rsid w:val="004A0138"/>
    <w:rsid w:val="004B3A46"/>
    <w:rsid w:val="004D464A"/>
    <w:rsid w:val="005269AB"/>
    <w:rsid w:val="00531682"/>
    <w:rsid w:val="005470D0"/>
    <w:rsid w:val="005B4149"/>
    <w:rsid w:val="005C3656"/>
    <w:rsid w:val="005D5574"/>
    <w:rsid w:val="005E6D9E"/>
    <w:rsid w:val="005E78B9"/>
    <w:rsid w:val="006016B2"/>
    <w:rsid w:val="00604079"/>
    <w:rsid w:val="006A1576"/>
    <w:rsid w:val="006C665B"/>
    <w:rsid w:val="006E346C"/>
    <w:rsid w:val="006E54A0"/>
    <w:rsid w:val="006E58BD"/>
    <w:rsid w:val="006F4FBD"/>
    <w:rsid w:val="00736CB3"/>
    <w:rsid w:val="00773543"/>
    <w:rsid w:val="007E308F"/>
    <w:rsid w:val="0080697A"/>
    <w:rsid w:val="00807D1E"/>
    <w:rsid w:val="0081641A"/>
    <w:rsid w:val="00831091"/>
    <w:rsid w:val="00840453"/>
    <w:rsid w:val="00886570"/>
    <w:rsid w:val="008A5DF7"/>
    <w:rsid w:val="008A67E5"/>
    <w:rsid w:val="008C7274"/>
    <w:rsid w:val="008D1552"/>
    <w:rsid w:val="009139F3"/>
    <w:rsid w:val="009207CC"/>
    <w:rsid w:val="00926CD8"/>
    <w:rsid w:val="00940726"/>
    <w:rsid w:val="00956256"/>
    <w:rsid w:val="00964875"/>
    <w:rsid w:val="00973FE3"/>
    <w:rsid w:val="00976D9C"/>
    <w:rsid w:val="0097792D"/>
    <w:rsid w:val="0098713A"/>
    <w:rsid w:val="00995A7D"/>
    <w:rsid w:val="009A1D01"/>
    <w:rsid w:val="009A693E"/>
    <w:rsid w:val="009A69A4"/>
    <w:rsid w:val="009B43B6"/>
    <w:rsid w:val="009B5B15"/>
    <w:rsid w:val="009B6553"/>
    <w:rsid w:val="009D25B1"/>
    <w:rsid w:val="009E06A4"/>
    <w:rsid w:val="009E35DD"/>
    <w:rsid w:val="00A02552"/>
    <w:rsid w:val="00A06107"/>
    <w:rsid w:val="00A33A6E"/>
    <w:rsid w:val="00A35AA6"/>
    <w:rsid w:val="00A40917"/>
    <w:rsid w:val="00A45018"/>
    <w:rsid w:val="00A55FA7"/>
    <w:rsid w:val="00A673D9"/>
    <w:rsid w:val="00A71DFC"/>
    <w:rsid w:val="00AA1244"/>
    <w:rsid w:val="00AA369D"/>
    <w:rsid w:val="00AB4471"/>
    <w:rsid w:val="00AD101A"/>
    <w:rsid w:val="00AE547C"/>
    <w:rsid w:val="00AF2FC1"/>
    <w:rsid w:val="00B01AE7"/>
    <w:rsid w:val="00B263D8"/>
    <w:rsid w:val="00B3235B"/>
    <w:rsid w:val="00B579A5"/>
    <w:rsid w:val="00B778A4"/>
    <w:rsid w:val="00B80586"/>
    <w:rsid w:val="00B9372C"/>
    <w:rsid w:val="00BA2802"/>
    <w:rsid w:val="00BA5F49"/>
    <w:rsid w:val="00BC3CCC"/>
    <w:rsid w:val="00BF3CCD"/>
    <w:rsid w:val="00C121D5"/>
    <w:rsid w:val="00C1388D"/>
    <w:rsid w:val="00C147CC"/>
    <w:rsid w:val="00C47AF0"/>
    <w:rsid w:val="00C948B3"/>
    <w:rsid w:val="00CA1C8D"/>
    <w:rsid w:val="00CB29DF"/>
    <w:rsid w:val="00D127F5"/>
    <w:rsid w:val="00D35987"/>
    <w:rsid w:val="00D35FAC"/>
    <w:rsid w:val="00D42A1E"/>
    <w:rsid w:val="00D81C00"/>
    <w:rsid w:val="00D8235F"/>
    <w:rsid w:val="00D91C60"/>
    <w:rsid w:val="00D926EA"/>
    <w:rsid w:val="00D947FD"/>
    <w:rsid w:val="00DA2C97"/>
    <w:rsid w:val="00DC52D0"/>
    <w:rsid w:val="00DE2804"/>
    <w:rsid w:val="00E2366A"/>
    <w:rsid w:val="00E425B1"/>
    <w:rsid w:val="00E52D41"/>
    <w:rsid w:val="00E64348"/>
    <w:rsid w:val="00ED3CDD"/>
    <w:rsid w:val="00EE59C3"/>
    <w:rsid w:val="00EF07AB"/>
    <w:rsid w:val="00F01357"/>
    <w:rsid w:val="00F02C7D"/>
    <w:rsid w:val="00F453CE"/>
    <w:rsid w:val="00F646F3"/>
    <w:rsid w:val="00F64FD3"/>
    <w:rsid w:val="00F742E8"/>
    <w:rsid w:val="00F863DD"/>
    <w:rsid w:val="00F91F95"/>
    <w:rsid w:val="00F9535D"/>
    <w:rsid w:val="00FB4B97"/>
    <w:rsid w:val="00FB5559"/>
    <w:rsid w:val="00FB5AEB"/>
    <w:rsid w:val="00FC651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3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C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1C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70"/>
    <w:rPr>
      <w:rFonts w:ascii="Tahoma" w:hAnsi="Tahoma" w:cs="Tahoma"/>
      <w:sz w:val="16"/>
      <w:szCs w:val="16"/>
    </w:rPr>
  </w:style>
  <w:style w:type="paragraph" w:styleId="Header">
    <w:name w:val="header"/>
    <w:basedOn w:val="Normal"/>
    <w:link w:val="HeaderChar"/>
    <w:uiPriority w:val="99"/>
    <w:unhideWhenUsed/>
    <w:rsid w:val="00250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777"/>
  </w:style>
  <w:style w:type="paragraph" w:styleId="Footer">
    <w:name w:val="footer"/>
    <w:basedOn w:val="Normal"/>
    <w:link w:val="FooterChar"/>
    <w:uiPriority w:val="99"/>
    <w:unhideWhenUsed/>
    <w:rsid w:val="00250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777"/>
  </w:style>
  <w:style w:type="character" w:customStyle="1" w:styleId="Heading2Char">
    <w:name w:val="Heading 2 Char"/>
    <w:basedOn w:val="DefaultParagraphFont"/>
    <w:link w:val="Heading2"/>
    <w:uiPriority w:val="9"/>
    <w:rsid w:val="00D91C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1C6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3109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A5DF7"/>
    <w:rPr>
      <w:color w:val="808080"/>
    </w:rPr>
  </w:style>
  <w:style w:type="paragraph" w:styleId="FootnoteText">
    <w:name w:val="footnote text"/>
    <w:basedOn w:val="Normal"/>
    <w:link w:val="FootnoteTextChar"/>
    <w:uiPriority w:val="99"/>
    <w:unhideWhenUsed/>
    <w:rsid w:val="0080697A"/>
    <w:pPr>
      <w:spacing w:after="0" w:line="240" w:lineRule="auto"/>
    </w:pPr>
    <w:rPr>
      <w:sz w:val="20"/>
      <w:szCs w:val="20"/>
    </w:rPr>
  </w:style>
  <w:style w:type="character" w:customStyle="1" w:styleId="FootnoteTextChar">
    <w:name w:val="Footnote Text Char"/>
    <w:basedOn w:val="DefaultParagraphFont"/>
    <w:link w:val="FootnoteText"/>
    <w:uiPriority w:val="99"/>
    <w:rsid w:val="0080697A"/>
    <w:rPr>
      <w:sz w:val="20"/>
      <w:szCs w:val="20"/>
    </w:rPr>
  </w:style>
  <w:style w:type="character" w:styleId="FootnoteReference">
    <w:name w:val="footnote reference"/>
    <w:basedOn w:val="DefaultParagraphFont"/>
    <w:uiPriority w:val="99"/>
    <w:unhideWhenUsed/>
    <w:rsid w:val="0080697A"/>
    <w:rPr>
      <w:vertAlign w:val="superscript"/>
    </w:rPr>
  </w:style>
  <w:style w:type="character" w:styleId="CommentReference">
    <w:name w:val="annotation reference"/>
    <w:basedOn w:val="DefaultParagraphFont"/>
    <w:uiPriority w:val="99"/>
    <w:semiHidden/>
    <w:unhideWhenUsed/>
    <w:rsid w:val="00D81C00"/>
    <w:rPr>
      <w:sz w:val="16"/>
      <w:szCs w:val="16"/>
    </w:rPr>
  </w:style>
  <w:style w:type="paragraph" w:styleId="CommentText">
    <w:name w:val="annotation text"/>
    <w:basedOn w:val="Normal"/>
    <w:link w:val="CommentTextChar"/>
    <w:uiPriority w:val="99"/>
    <w:semiHidden/>
    <w:unhideWhenUsed/>
    <w:rsid w:val="00D81C00"/>
    <w:pPr>
      <w:spacing w:line="240" w:lineRule="auto"/>
    </w:pPr>
    <w:rPr>
      <w:sz w:val="20"/>
      <w:szCs w:val="20"/>
    </w:rPr>
  </w:style>
  <w:style w:type="character" w:customStyle="1" w:styleId="CommentTextChar">
    <w:name w:val="Comment Text Char"/>
    <w:basedOn w:val="DefaultParagraphFont"/>
    <w:link w:val="CommentText"/>
    <w:uiPriority w:val="99"/>
    <w:semiHidden/>
    <w:rsid w:val="00D81C00"/>
    <w:rPr>
      <w:sz w:val="20"/>
      <w:szCs w:val="20"/>
    </w:rPr>
  </w:style>
  <w:style w:type="paragraph" w:styleId="CommentSubject">
    <w:name w:val="annotation subject"/>
    <w:basedOn w:val="CommentText"/>
    <w:next w:val="CommentText"/>
    <w:link w:val="CommentSubjectChar"/>
    <w:uiPriority w:val="99"/>
    <w:semiHidden/>
    <w:unhideWhenUsed/>
    <w:rsid w:val="00D81C00"/>
    <w:rPr>
      <w:b/>
      <w:bCs/>
    </w:rPr>
  </w:style>
  <w:style w:type="character" w:customStyle="1" w:styleId="CommentSubjectChar">
    <w:name w:val="Comment Subject Char"/>
    <w:basedOn w:val="CommentTextChar"/>
    <w:link w:val="CommentSubject"/>
    <w:uiPriority w:val="99"/>
    <w:semiHidden/>
    <w:rsid w:val="00D81C00"/>
    <w:rPr>
      <w:b/>
      <w:bCs/>
      <w:sz w:val="20"/>
      <w:szCs w:val="20"/>
    </w:rPr>
  </w:style>
  <w:style w:type="paragraph" w:styleId="Revision">
    <w:name w:val="Revision"/>
    <w:hidden/>
    <w:uiPriority w:val="99"/>
    <w:semiHidden/>
    <w:rsid w:val="00D81C00"/>
    <w:pPr>
      <w:spacing w:after="0" w:line="240" w:lineRule="auto"/>
    </w:pPr>
  </w:style>
  <w:style w:type="table" w:styleId="TableGrid">
    <w:name w:val="Table Grid"/>
    <w:basedOn w:val="TableNormal"/>
    <w:uiPriority w:val="59"/>
    <w:rsid w:val="007E3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E308F"/>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C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1C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70"/>
    <w:rPr>
      <w:rFonts w:ascii="Tahoma" w:hAnsi="Tahoma" w:cs="Tahoma"/>
      <w:sz w:val="16"/>
      <w:szCs w:val="16"/>
    </w:rPr>
  </w:style>
  <w:style w:type="paragraph" w:styleId="Header">
    <w:name w:val="header"/>
    <w:basedOn w:val="Normal"/>
    <w:link w:val="HeaderChar"/>
    <w:uiPriority w:val="99"/>
    <w:unhideWhenUsed/>
    <w:rsid w:val="00250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777"/>
  </w:style>
  <w:style w:type="paragraph" w:styleId="Footer">
    <w:name w:val="footer"/>
    <w:basedOn w:val="Normal"/>
    <w:link w:val="FooterChar"/>
    <w:uiPriority w:val="99"/>
    <w:unhideWhenUsed/>
    <w:rsid w:val="00250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777"/>
  </w:style>
  <w:style w:type="character" w:customStyle="1" w:styleId="Heading2Char">
    <w:name w:val="Heading 2 Char"/>
    <w:basedOn w:val="DefaultParagraphFont"/>
    <w:link w:val="Heading2"/>
    <w:uiPriority w:val="9"/>
    <w:rsid w:val="00D91C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1C6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3109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A5DF7"/>
    <w:rPr>
      <w:color w:val="808080"/>
    </w:rPr>
  </w:style>
  <w:style w:type="paragraph" w:styleId="FootnoteText">
    <w:name w:val="footnote text"/>
    <w:basedOn w:val="Normal"/>
    <w:link w:val="FootnoteTextChar"/>
    <w:uiPriority w:val="99"/>
    <w:unhideWhenUsed/>
    <w:rsid w:val="0080697A"/>
    <w:pPr>
      <w:spacing w:after="0" w:line="240" w:lineRule="auto"/>
    </w:pPr>
    <w:rPr>
      <w:sz w:val="20"/>
      <w:szCs w:val="20"/>
    </w:rPr>
  </w:style>
  <w:style w:type="character" w:customStyle="1" w:styleId="FootnoteTextChar">
    <w:name w:val="Footnote Text Char"/>
    <w:basedOn w:val="DefaultParagraphFont"/>
    <w:link w:val="FootnoteText"/>
    <w:uiPriority w:val="99"/>
    <w:rsid w:val="0080697A"/>
    <w:rPr>
      <w:sz w:val="20"/>
      <w:szCs w:val="20"/>
    </w:rPr>
  </w:style>
  <w:style w:type="character" w:styleId="FootnoteReference">
    <w:name w:val="footnote reference"/>
    <w:basedOn w:val="DefaultParagraphFont"/>
    <w:uiPriority w:val="99"/>
    <w:unhideWhenUsed/>
    <w:rsid w:val="0080697A"/>
    <w:rPr>
      <w:vertAlign w:val="superscript"/>
    </w:rPr>
  </w:style>
  <w:style w:type="character" w:styleId="CommentReference">
    <w:name w:val="annotation reference"/>
    <w:basedOn w:val="DefaultParagraphFont"/>
    <w:uiPriority w:val="99"/>
    <w:semiHidden/>
    <w:unhideWhenUsed/>
    <w:rsid w:val="00D81C00"/>
    <w:rPr>
      <w:sz w:val="16"/>
      <w:szCs w:val="16"/>
    </w:rPr>
  </w:style>
  <w:style w:type="paragraph" w:styleId="CommentText">
    <w:name w:val="annotation text"/>
    <w:basedOn w:val="Normal"/>
    <w:link w:val="CommentTextChar"/>
    <w:uiPriority w:val="99"/>
    <w:semiHidden/>
    <w:unhideWhenUsed/>
    <w:rsid w:val="00D81C00"/>
    <w:pPr>
      <w:spacing w:line="240" w:lineRule="auto"/>
    </w:pPr>
    <w:rPr>
      <w:sz w:val="20"/>
      <w:szCs w:val="20"/>
    </w:rPr>
  </w:style>
  <w:style w:type="character" w:customStyle="1" w:styleId="CommentTextChar">
    <w:name w:val="Comment Text Char"/>
    <w:basedOn w:val="DefaultParagraphFont"/>
    <w:link w:val="CommentText"/>
    <w:uiPriority w:val="99"/>
    <w:semiHidden/>
    <w:rsid w:val="00D81C00"/>
    <w:rPr>
      <w:sz w:val="20"/>
      <w:szCs w:val="20"/>
    </w:rPr>
  </w:style>
  <w:style w:type="paragraph" w:styleId="CommentSubject">
    <w:name w:val="annotation subject"/>
    <w:basedOn w:val="CommentText"/>
    <w:next w:val="CommentText"/>
    <w:link w:val="CommentSubjectChar"/>
    <w:uiPriority w:val="99"/>
    <w:semiHidden/>
    <w:unhideWhenUsed/>
    <w:rsid w:val="00D81C00"/>
    <w:rPr>
      <w:b/>
      <w:bCs/>
    </w:rPr>
  </w:style>
  <w:style w:type="character" w:customStyle="1" w:styleId="CommentSubjectChar">
    <w:name w:val="Comment Subject Char"/>
    <w:basedOn w:val="CommentTextChar"/>
    <w:link w:val="CommentSubject"/>
    <w:uiPriority w:val="99"/>
    <w:semiHidden/>
    <w:rsid w:val="00D81C00"/>
    <w:rPr>
      <w:b/>
      <w:bCs/>
      <w:sz w:val="20"/>
      <w:szCs w:val="20"/>
    </w:rPr>
  </w:style>
  <w:style w:type="paragraph" w:styleId="Revision">
    <w:name w:val="Revision"/>
    <w:hidden/>
    <w:uiPriority w:val="99"/>
    <w:semiHidden/>
    <w:rsid w:val="00D81C00"/>
    <w:pPr>
      <w:spacing w:after="0" w:line="240" w:lineRule="auto"/>
    </w:pPr>
  </w:style>
  <w:style w:type="table" w:styleId="TableGrid">
    <w:name w:val="Table Grid"/>
    <w:basedOn w:val="TableNormal"/>
    <w:uiPriority w:val="59"/>
    <w:rsid w:val="007E3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E308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4112">
      <w:bodyDiv w:val="1"/>
      <w:marLeft w:val="0"/>
      <w:marRight w:val="0"/>
      <w:marTop w:val="0"/>
      <w:marBottom w:val="0"/>
      <w:divBdr>
        <w:top w:val="none" w:sz="0" w:space="0" w:color="auto"/>
        <w:left w:val="none" w:sz="0" w:space="0" w:color="auto"/>
        <w:bottom w:val="none" w:sz="0" w:space="0" w:color="auto"/>
        <w:right w:val="none" w:sz="0" w:space="0" w:color="auto"/>
      </w:divBdr>
    </w:div>
    <w:div w:id="153687872">
      <w:bodyDiv w:val="1"/>
      <w:marLeft w:val="0"/>
      <w:marRight w:val="0"/>
      <w:marTop w:val="0"/>
      <w:marBottom w:val="0"/>
      <w:divBdr>
        <w:top w:val="none" w:sz="0" w:space="0" w:color="auto"/>
        <w:left w:val="none" w:sz="0" w:space="0" w:color="auto"/>
        <w:bottom w:val="none" w:sz="0" w:space="0" w:color="auto"/>
        <w:right w:val="none" w:sz="0" w:space="0" w:color="auto"/>
      </w:divBdr>
    </w:div>
    <w:div w:id="271328346">
      <w:bodyDiv w:val="1"/>
      <w:marLeft w:val="0"/>
      <w:marRight w:val="0"/>
      <w:marTop w:val="0"/>
      <w:marBottom w:val="0"/>
      <w:divBdr>
        <w:top w:val="none" w:sz="0" w:space="0" w:color="auto"/>
        <w:left w:val="none" w:sz="0" w:space="0" w:color="auto"/>
        <w:bottom w:val="none" w:sz="0" w:space="0" w:color="auto"/>
        <w:right w:val="none" w:sz="0" w:space="0" w:color="auto"/>
      </w:divBdr>
    </w:div>
    <w:div w:id="346714039">
      <w:bodyDiv w:val="1"/>
      <w:marLeft w:val="0"/>
      <w:marRight w:val="0"/>
      <w:marTop w:val="0"/>
      <w:marBottom w:val="0"/>
      <w:divBdr>
        <w:top w:val="none" w:sz="0" w:space="0" w:color="auto"/>
        <w:left w:val="none" w:sz="0" w:space="0" w:color="auto"/>
        <w:bottom w:val="none" w:sz="0" w:space="0" w:color="auto"/>
        <w:right w:val="none" w:sz="0" w:space="0" w:color="auto"/>
      </w:divBdr>
    </w:div>
    <w:div w:id="1249004839">
      <w:bodyDiv w:val="1"/>
      <w:marLeft w:val="0"/>
      <w:marRight w:val="0"/>
      <w:marTop w:val="0"/>
      <w:marBottom w:val="0"/>
      <w:divBdr>
        <w:top w:val="none" w:sz="0" w:space="0" w:color="auto"/>
        <w:left w:val="none" w:sz="0" w:space="0" w:color="auto"/>
        <w:bottom w:val="none" w:sz="0" w:space="0" w:color="auto"/>
        <w:right w:val="none" w:sz="0" w:space="0" w:color="auto"/>
      </w:divBdr>
    </w:div>
    <w:div w:id="1693604661">
      <w:bodyDiv w:val="1"/>
      <w:marLeft w:val="0"/>
      <w:marRight w:val="0"/>
      <w:marTop w:val="0"/>
      <w:marBottom w:val="0"/>
      <w:divBdr>
        <w:top w:val="none" w:sz="0" w:space="0" w:color="auto"/>
        <w:left w:val="none" w:sz="0" w:space="0" w:color="auto"/>
        <w:bottom w:val="none" w:sz="0" w:space="0" w:color="auto"/>
        <w:right w:val="none" w:sz="0" w:space="0" w:color="auto"/>
      </w:divBdr>
    </w:div>
    <w:div w:id="19306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epherd\Dropbox\ResearchHandbook_TradeCostsServices\Trade%20costs%20graphs%20for%20pap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epherd\Dropbox\ResearchHandbook_TradeCostsServices\Trade%20costs%20graphs%20for%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Total!$G$1</c:f>
              <c:strCache>
                <c:ptCount val="1"/>
                <c:pt idx="0">
                  <c:v>Intermediate</c:v>
                </c:pt>
              </c:strCache>
            </c:strRef>
          </c:tx>
          <c:spPr>
            <a:ln w="28575" cap="rnd">
              <a:solidFill>
                <a:schemeClr val="accent1"/>
              </a:solidFill>
              <a:round/>
            </a:ln>
            <a:effectLst/>
          </c:spPr>
          <c:marker>
            <c:symbol val="none"/>
          </c:marker>
          <c:cat>
            <c:numRef>
              <c:f>Total!$F$2:$F$18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Total!$G$2:$G$18</c:f>
              <c:numCache>
                <c:formatCode>General</c:formatCode>
                <c:ptCount val="17"/>
                <c:pt idx="0">
                  <c:v>218.9575</c:v>
                </c:pt>
                <c:pt idx="1">
                  <c:v>216.7484</c:v>
                </c:pt>
                <c:pt idx="2">
                  <c:v>215.8346</c:v>
                </c:pt>
                <c:pt idx="3">
                  <c:v>215.2645999999999</c:v>
                </c:pt>
                <c:pt idx="4">
                  <c:v>217.0543</c:v>
                </c:pt>
                <c:pt idx="5">
                  <c:v>209.4467</c:v>
                </c:pt>
                <c:pt idx="6">
                  <c:v>212.4387</c:v>
                </c:pt>
                <c:pt idx="7">
                  <c:v>212.0949</c:v>
                </c:pt>
                <c:pt idx="8">
                  <c:v>211.8579</c:v>
                </c:pt>
                <c:pt idx="9">
                  <c:v>212.0357</c:v>
                </c:pt>
                <c:pt idx="10">
                  <c:v>209.7945</c:v>
                </c:pt>
                <c:pt idx="11">
                  <c:v>194.7166</c:v>
                </c:pt>
                <c:pt idx="12">
                  <c:v>192.4323</c:v>
                </c:pt>
                <c:pt idx="13">
                  <c:v>188.1592</c:v>
                </c:pt>
                <c:pt idx="14">
                  <c:v>192.5533</c:v>
                </c:pt>
                <c:pt idx="15">
                  <c:v>195.7925</c:v>
                </c:pt>
                <c:pt idx="16">
                  <c:v>193.9628</c:v>
                </c:pt>
              </c:numCache>
            </c:numRef>
          </c:val>
          <c:smooth val="0"/>
        </c:ser>
        <c:ser>
          <c:idx val="1"/>
          <c:order val="1"/>
          <c:tx>
            <c:strRef>
              <c:f>Total!$H$1</c:f>
              <c:strCache>
                <c:ptCount val="1"/>
                <c:pt idx="0">
                  <c:v>Final</c:v>
                </c:pt>
              </c:strCache>
            </c:strRef>
          </c:tx>
          <c:spPr>
            <a:ln w="28575" cap="rnd">
              <a:solidFill>
                <a:schemeClr val="accent2"/>
              </a:solidFill>
              <a:round/>
            </a:ln>
            <a:effectLst/>
          </c:spPr>
          <c:marker>
            <c:symbol val="none"/>
          </c:marker>
          <c:cat>
            <c:numRef>
              <c:f>Total!$F$2:$F$18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Total!$H$2:$H$18</c:f>
              <c:numCache>
                <c:formatCode>General</c:formatCode>
                <c:ptCount val="17"/>
                <c:pt idx="0">
                  <c:v>305.4486</c:v>
                </c:pt>
                <c:pt idx="1">
                  <c:v>304.1782999999999</c:v>
                </c:pt>
                <c:pt idx="2">
                  <c:v>303.8815999999996</c:v>
                </c:pt>
                <c:pt idx="3">
                  <c:v>303.6101</c:v>
                </c:pt>
                <c:pt idx="4">
                  <c:v>299.7855</c:v>
                </c:pt>
                <c:pt idx="5">
                  <c:v>294.9465999999996</c:v>
                </c:pt>
                <c:pt idx="6">
                  <c:v>295.7350999999996</c:v>
                </c:pt>
                <c:pt idx="7">
                  <c:v>293.3786999999999</c:v>
                </c:pt>
                <c:pt idx="8">
                  <c:v>292.5729</c:v>
                </c:pt>
                <c:pt idx="9">
                  <c:v>298.313</c:v>
                </c:pt>
                <c:pt idx="10">
                  <c:v>291.0489</c:v>
                </c:pt>
                <c:pt idx="11">
                  <c:v>276.0458</c:v>
                </c:pt>
                <c:pt idx="12">
                  <c:v>272.83</c:v>
                </c:pt>
                <c:pt idx="13">
                  <c:v>269.1823</c:v>
                </c:pt>
                <c:pt idx="14">
                  <c:v>273.8229</c:v>
                </c:pt>
                <c:pt idx="15">
                  <c:v>278.8072</c:v>
                </c:pt>
                <c:pt idx="16">
                  <c:v>277.0331999999996</c:v>
                </c:pt>
              </c:numCache>
            </c:numRef>
          </c:val>
          <c:smooth val="0"/>
        </c:ser>
        <c:dLbls>
          <c:showLegendKey val="0"/>
          <c:showVal val="0"/>
          <c:showCatName val="0"/>
          <c:showSerName val="0"/>
          <c:showPercent val="0"/>
          <c:showBubbleSize val="0"/>
        </c:dLbls>
        <c:marker val="1"/>
        <c:smooth val="0"/>
        <c:axId val="-2135474456"/>
        <c:axId val="-2135907944"/>
      </c:lineChart>
      <c:catAx>
        <c:axId val="-2135474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907944"/>
        <c:crosses val="autoZero"/>
        <c:auto val="1"/>
        <c:lblAlgn val="ctr"/>
        <c:lblOffset val="100"/>
        <c:noMultiLvlLbl val="0"/>
      </c:catAx>
      <c:valAx>
        <c:axId val="-2135907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Ad Valorem Equivalent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474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Intermediate!$J$1</c:f>
              <c:strCache>
                <c:ptCount val="1"/>
                <c:pt idx="0">
                  <c:v>Construction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Intermediate!$I$2:$I$18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Intermediate!$J$2:$J$18</c:f>
              <c:numCache>
                <c:formatCode>General</c:formatCode>
                <c:ptCount val="17"/>
                <c:pt idx="0">
                  <c:v>339.1596</c:v>
                </c:pt>
                <c:pt idx="1">
                  <c:v>336.9822999999996</c:v>
                </c:pt>
                <c:pt idx="2">
                  <c:v>332.4162999999996</c:v>
                </c:pt>
                <c:pt idx="3">
                  <c:v>323.2271</c:v>
                </c:pt>
                <c:pt idx="4">
                  <c:v>315.1595</c:v>
                </c:pt>
                <c:pt idx="5">
                  <c:v>319.2902999999996</c:v>
                </c:pt>
                <c:pt idx="6">
                  <c:v>317.8039</c:v>
                </c:pt>
                <c:pt idx="7">
                  <c:v>318.2282999999996</c:v>
                </c:pt>
                <c:pt idx="8">
                  <c:v>312.2737999999996</c:v>
                </c:pt>
                <c:pt idx="9">
                  <c:v>306.0781999999998</c:v>
                </c:pt>
                <c:pt idx="10">
                  <c:v>303.2785</c:v>
                </c:pt>
                <c:pt idx="11">
                  <c:v>305.2441</c:v>
                </c:pt>
                <c:pt idx="12">
                  <c:v>309.8655</c:v>
                </c:pt>
                <c:pt idx="13">
                  <c:v>318.0</c:v>
                </c:pt>
                <c:pt idx="14">
                  <c:v>322.1621999999999</c:v>
                </c:pt>
                <c:pt idx="15">
                  <c:v>342.3974999999999</c:v>
                </c:pt>
                <c:pt idx="16">
                  <c:v>343.5779</c:v>
                </c:pt>
              </c:numCache>
            </c:numRef>
          </c:val>
          <c:smooth val="0"/>
        </c:ser>
        <c:ser>
          <c:idx val="1"/>
          <c:order val="1"/>
          <c:tx>
            <c:strRef>
              <c:f>Intermediate!$K$1</c:f>
              <c:strCache>
                <c:ptCount val="1"/>
                <c:pt idx="0">
                  <c:v>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Intermediate!$I$2:$I$18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Intermediate!$K$2:$K$18</c:f>
              <c:numCache>
                <c:formatCode>General</c:formatCode>
                <c:ptCount val="17"/>
                <c:pt idx="0">
                  <c:v>323.1459</c:v>
                </c:pt>
                <c:pt idx="1">
                  <c:v>321.0341</c:v>
                </c:pt>
                <c:pt idx="2">
                  <c:v>322.3982999999996</c:v>
                </c:pt>
                <c:pt idx="3">
                  <c:v>323.1151999999996</c:v>
                </c:pt>
                <c:pt idx="4">
                  <c:v>314.0314</c:v>
                </c:pt>
                <c:pt idx="5">
                  <c:v>305.3327</c:v>
                </c:pt>
                <c:pt idx="6">
                  <c:v>294.5930999999996</c:v>
                </c:pt>
                <c:pt idx="7">
                  <c:v>290.7833999999996</c:v>
                </c:pt>
                <c:pt idx="8">
                  <c:v>285.4169999999996</c:v>
                </c:pt>
                <c:pt idx="9">
                  <c:v>277.8025999999999</c:v>
                </c:pt>
                <c:pt idx="10">
                  <c:v>277.9458</c:v>
                </c:pt>
                <c:pt idx="11">
                  <c:v>274.9118</c:v>
                </c:pt>
                <c:pt idx="12">
                  <c:v>271.3560999999999</c:v>
                </c:pt>
                <c:pt idx="13">
                  <c:v>266.3064</c:v>
                </c:pt>
                <c:pt idx="14">
                  <c:v>275.2434999999999</c:v>
                </c:pt>
                <c:pt idx="15">
                  <c:v>288.0522000000001</c:v>
                </c:pt>
                <c:pt idx="16">
                  <c:v>286.0920999999996</c:v>
                </c:pt>
              </c:numCache>
            </c:numRef>
          </c:val>
          <c:smooth val="0"/>
        </c:ser>
        <c:ser>
          <c:idx val="2"/>
          <c:order val="2"/>
          <c:tx>
            <c:strRef>
              <c:f>Intermediate!$L$1</c:f>
              <c:strCache>
                <c:ptCount val="1"/>
                <c:pt idx="0">
                  <c:v>Transport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Intermediate!$I$2:$I$18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Intermediate!$L$2:$L$18</c:f>
              <c:numCache>
                <c:formatCode>General</c:formatCode>
                <c:ptCount val="17"/>
                <c:pt idx="0">
                  <c:v>204.084</c:v>
                </c:pt>
                <c:pt idx="1">
                  <c:v>201.9857</c:v>
                </c:pt>
                <c:pt idx="2">
                  <c:v>199.5886</c:v>
                </c:pt>
                <c:pt idx="3">
                  <c:v>204.9126</c:v>
                </c:pt>
                <c:pt idx="4">
                  <c:v>202.474</c:v>
                </c:pt>
                <c:pt idx="5">
                  <c:v>195.763</c:v>
                </c:pt>
                <c:pt idx="6">
                  <c:v>197.8632</c:v>
                </c:pt>
                <c:pt idx="7">
                  <c:v>193.6788</c:v>
                </c:pt>
                <c:pt idx="8">
                  <c:v>195.0323</c:v>
                </c:pt>
                <c:pt idx="9">
                  <c:v>187.8575</c:v>
                </c:pt>
                <c:pt idx="10">
                  <c:v>181.0634</c:v>
                </c:pt>
                <c:pt idx="11">
                  <c:v>183.8639</c:v>
                </c:pt>
                <c:pt idx="12">
                  <c:v>182.3573</c:v>
                </c:pt>
                <c:pt idx="13">
                  <c:v>181.5208</c:v>
                </c:pt>
                <c:pt idx="14">
                  <c:v>184.962</c:v>
                </c:pt>
                <c:pt idx="15">
                  <c:v>188.5884</c:v>
                </c:pt>
                <c:pt idx="16">
                  <c:v>187.7092</c:v>
                </c:pt>
              </c:numCache>
            </c:numRef>
          </c:val>
          <c:smooth val="0"/>
        </c:ser>
        <c:ser>
          <c:idx val="3"/>
          <c:order val="3"/>
          <c:tx>
            <c:strRef>
              <c:f>Intermediate!$M$1</c:f>
              <c:strCache>
                <c:ptCount val="1"/>
                <c:pt idx="0">
                  <c:v>Post &amp; Telecom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Intermediate!$I$2:$I$18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Intermediate!$M$2:$M$18</c:f>
              <c:numCache>
                <c:formatCode>General</c:formatCode>
                <c:ptCount val="17"/>
                <c:pt idx="0">
                  <c:v>257.7359</c:v>
                </c:pt>
                <c:pt idx="1">
                  <c:v>259.442</c:v>
                </c:pt>
                <c:pt idx="2">
                  <c:v>258.2130999999997</c:v>
                </c:pt>
                <c:pt idx="3">
                  <c:v>261.3759999999999</c:v>
                </c:pt>
                <c:pt idx="4">
                  <c:v>264.3714999999999</c:v>
                </c:pt>
                <c:pt idx="5">
                  <c:v>255.2372</c:v>
                </c:pt>
                <c:pt idx="6">
                  <c:v>268.7457</c:v>
                </c:pt>
                <c:pt idx="7">
                  <c:v>258.6021999999999</c:v>
                </c:pt>
                <c:pt idx="8">
                  <c:v>255.6075</c:v>
                </c:pt>
                <c:pt idx="9">
                  <c:v>245.9397</c:v>
                </c:pt>
                <c:pt idx="10">
                  <c:v>237.2432</c:v>
                </c:pt>
                <c:pt idx="11">
                  <c:v>232.3667</c:v>
                </c:pt>
                <c:pt idx="12">
                  <c:v>234.0016</c:v>
                </c:pt>
                <c:pt idx="13">
                  <c:v>235.8883000000001</c:v>
                </c:pt>
                <c:pt idx="14">
                  <c:v>241.0219</c:v>
                </c:pt>
                <c:pt idx="15">
                  <c:v>244.7937</c:v>
                </c:pt>
                <c:pt idx="16">
                  <c:v>243.5239</c:v>
                </c:pt>
              </c:numCache>
            </c:numRef>
          </c:val>
          <c:smooth val="0"/>
        </c:ser>
        <c:ser>
          <c:idx val="4"/>
          <c:order val="4"/>
          <c:tx>
            <c:strRef>
              <c:f>Intermediate!$N$1</c:f>
              <c:strCache>
                <c:ptCount val="1"/>
                <c:pt idx="0">
                  <c:v>Finance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Intermediate!$I$2:$I$18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Intermediate!$N$2:$N$18</c:f>
              <c:numCache>
                <c:formatCode>General</c:formatCode>
                <c:ptCount val="17"/>
                <c:pt idx="0">
                  <c:v>291.6984999999999</c:v>
                </c:pt>
                <c:pt idx="1">
                  <c:v>289.1515</c:v>
                </c:pt>
                <c:pt idx="2">
                  <c:v>287.3489</c:v>
                </c:pt>
                <c:pt idx="3">
                  <c:v>288.5264999999997</c:v>
                </c:pt>
                <c:pt idx="4">
                  <c:v>297.4905999999996</c:v>
                </c:pt>
                <c:pt idx="5">
                  <c:v>291.5154999999999</c:v>
                </c:pt>
                <c:pt idx="6">
                  <c:v>296.4977999999996</c:v>
                </c:pt>
                <c:pt idx="7">
                  <c:v>301.3188</c:v>
                </c:pt>
                <c:pt idx="8">
                  <c:v>311.2477999999999</c:v>
                </c:pt>
                <c:pt idx="9">
                  <c:v>280.99</c:v>
                </c:pt>
                <c:pt idx="10">
                  <c:v>281.3428</c:v>
                </c:pt>
                <c:pt idx="11">
                  <c:v>278.8066</c:v>
                </c:pt>
                <c:pt idx="12">
                  <c:v>272.8372999999999</c:v>
                </c:pt>
                <c:pt idx="13">
                  <c:v>289.3653</c:v>
                </c:pt>
                <c:pt idx="14">
                  <c:v>286.2674</c:v>
                </c:pt>
                <c:pt idx="15">
                  <c:v>331.1730999999999</c:v>
                </c:pt>
                <c:pt idx="16">
                  <c:v>326.1766999999999</c:v>
                </c:pt>
              </c:numCache>
            </c:numRef>
          </c:val>
          <c:smooth val="0"/>
        </c:ser>
        <c:ser>
          <c:idx val="5"/>
          <c:order val="5"/>
          <c:tx>
            <c:strRef>
              <c:f>Intermediate!$O$1</c:f>
              <c:strCache>
                <c:ptCount val="1"/>
                <c:pt idx="0">
                  <c:v>Business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Intermediate!$I$2:$I$18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Intermediate!$O$2:$O$18</c:f>
              <c:numCache>
                <c:formatCode>General</c:formatCode>
                <c:ptCount val="17"/>
                <c:pt idx="0">
                  <c:v>268.0430999999999</c:v>
                </c:pt>
                <c:pt idx="1">
                  <c:v>270.0454000000001</c:v>
                </c:pt>
                <c:pt idx="2">
                  <c:v>270.9636999999996</c:v>
                </c:pt>
                <c:pt idx="3">
                  <c:v>265.8961999999996</c:v>
                </c:pt>
                <c:pt idx="4">
                  <c:v>272.9087999999996</c:v>
                </c:pt>
                <c:pt idx="5">
                  <c:v>258.6114999999999</c:v>
                </c:pt>
                <c:pt idx="6">
                  <c:v>255.9575</c:v>
                </c:pt>
                <c:pt idx="7">
                  <c:v>260.1533999999999</c:v>
                </c:pt>
                <c:pt idx="8">
                  <c:v>249.4368</c:v>
                </c:pt>
                <c:pt idx="9">
                  <c:v>246.2563</c:v>
                </c:pt>
                <c:pt idx="10">
                  <c:v>244.2202</c:v>
                </c:pt>
                <c:pt idx="11">
                  <c:v>234.8961</c:v>
                </c:pt>
                <c:pt idx="12">
                  <c:v>230.7301</c:v>
                </c:pt>
                <c:pt idx="13">
                  <c:v>219.5072</c:v>
                </c:pt>
                <c:pt idx="14">
                  <c:v>225.4593</c:v>
                </c:pt>
                <c:pt idx="15">
                  <c:v>230.239</c:v>
                </c:pt>
                <c:pt idx="16">
                  <c:v>227.6716</c:v>
                </c:pt>
              </c:numCache>
            </c:numRef>
          </c:val>
          <c:smooth val="0"/>
        </c:ser>
        <c:dLbls>
          <c:showLegendKey val="0"/>
          <c:showVal val="0"/>
          <c:showCatName val="0"/>
          <c:showSerName val="0"/>
          <c:showPercent val="0"/>
          <c:showBubbleSize val="0"/>
        </c:dLbls>
        <c:marker val="1"/>
        <c:smooth val="0"/>
        <c:axId val="2124378392"/>
        <c:axId val="2123662920"/>
      </c:lineChart>
      <c:catAx>
        <c:axId val="2124378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3662920"/>
        <c:crosses val="autoZero"/>
        <c:auto val="1"/>
        <c:lblAlgn val="ctr"/>
        <c:lblOffset val="100"/>
        <c:noMultiLvlLbl val="0"/>
      </c:catAx>
      <c:valAx>
        <c:axId val="2123662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Ad Valorem Equivalent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378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Final!$J$1</c:f>
              <c:strCache>
                <c:ptCount val="1"/>
                <c:pt idx="0">
                  <c:v>Construction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Final!$I$2:$I$18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Final!$J$2:$J$18</c:f>
              <c:numCache>
                <c:formatCode>General</c:formatCode>
                <c:ptCount val="17"/>
                <c:pt idx="0">
                  <c:v>492.8606000000001</c:v>
                </c:pt>
                <c:pt idx="1">
                  <c:v>492.7762999999996</c:v>
                </c:pt>
                <c:pt idx="2">
                  <c:v>513.3615999999992</c:v>
                </c:pt>
                <c:pt idx="3">
                  <c:v>495.3977</c:v>
                </c:pt>
                <c:pt idx="4">
                  <c:v>466.0829</c:v>
                </c:pt>
                <c:pt idx="5">
                  <c:v>464.973</c:v>
                </c:pt>
                <c:pt idx="6">
                  <c:v>475.045</c:v>
                </c:pt>
                <c:pt idx="7">
                  <c:v>466.1756999999999</c:v>
                </c:pt>
                <c:pt idx="8">
                  <c:v>470.4843999999996</c:v>
                </c:pt>
                <c:pt idx="9">
                  <c:v>458.4731999999995</c:v>
                </c:pt>
                <c:pt idx="10">
                  <c:v>447.7459999999999</c:v>
                </c:pt>
                <c:pt idx="11">
                  <c:v>451.1872999999998</c:v>
                </c:pt>
                <c:pt idx="12">
                  <c:v>452.9948999999999</c:v>
                </c:pt>
                <c:pt idx="13">
                  <c:v>465.7900999999996</c:v>
                </c:pt>
                <c:pt idx="14">
                  <c:v>452.9091</c:v>
                </c:pt>
                <c:pt idx="15">
                  <c:v>480.0829</c:v>
                </c:pt>
                <c:pt idx="16">
                  <c:v>490.2909999999997</c:v>
                </c:pt>
              </c:numCache>
            </c:numRef>
          </c:val>
          <c:smooth val="0"/>
        </c:ser>
        <c:ser>
          <c:idx val="1"/>
          <c:order val="1"/>
          <c:tx>
            <c:strRef>
              <c:f>Final!$K$1</c:f>
              <c:strCache>
                <c:ptCount val="1"/>
                <c:pt idx="0">
                  <c:v>Distribution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Final!$I$2:$I$18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Final!$K$2:$K$18</c:f>
              <c:numCache>
                <c:formatCode>General</c:formatCode>
                <c:ptCount val="17"/>
                <c:pt idx="0">
                  <c:v>386.4669999999996</c:v>
                </c:pt>
                <c:pt idx="1">
                  <c:v>384.8267999999996</c:v>
                </c:pt>
                <c:pt idx="2">
                  <c:v>386.44</c:v>
                </c:pt>
                <c:pt idx="3">
                  <c:v>380.8676000000001</c:v>
                </c:pt>
                <c:pt idx="4">
                  <c:v>373.2996</c:v>
                </c:pt>
                <c:pt idx="5">
                  <c:v>361.2143999999996</c:v>
                </c:pt>
                <c:pt idx="6">
                  <c:v>346.7474000000001</c:v>
                </c:pt>
                <c:pt idx="7">
                  <c:v>342.444</c:v>
                </c:pt>
                <c:pt idx="8">
                  <c:v>339.6635</c:v>
                </c:pt>
                <c:pt idx="9">
                  <c:v>331.3797</c:v>
                </c:pt>
                <c:pt idx="10">
                  <c:v>330.3340999999999</c:v>
                </c:pt>
                <c:pt idx="11">
                  <c:v>328.7536999999999</c:v>
                </c:pt>
                <c:pt idx="12">
                  <c:v>322.8165</c:v>
                </c:pt>
                <c:pt idx="13">
                  <c:v>317.8493000000001</c:v>
                </c:pt>
                <c:pt idx="14">
                  <c:v>323.0814999999996</c:v>
                </c:pt>
                <c:pt idx="15">
                  <c:v>337.572</c:v>
                </c:pt>
                <c:pt idx="16">
                  <c:v>337.4977999999996</c:v>
                </c:pt>
              </c:numCache>
            </c:numRef>
          </c:val>
          <c:smooth val="0"/>
        </c:ser>
        <c:ser>
          <c:idx val="2"/>
          <c:order val="2"/>
          <c:tx>
            <c:strRef>
              <c:f>Final!$L$1</c:f>
              <c:strCache>
                <c:ptCount val="1"/>
                <c:pt idx="0">
                  <c:v>Transport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Final!$I$2:$I$18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Final!$L$2:$L$18</c:f>
              <c:numCache>
                <c:formatCode>General</c:formatCode>
                <c:ptCount val="17"/>
                <c:pt idx="0">
                  <c:v>242.7492</c:v>
                </c:pt>
                <c:pt idx="1">
                  <c:v>242.9711</c:v>
                </c:pt>
                <c:pt idx="2">
                  <c:v>241.228</c:v>
                </c:pt>
                <c:pt idx="3">
                  <c:v>243.8959</c:v>
                </c:pt>
                <c:pt idx="4">
                  <c:v>240.8035</c:v>
                </c:pt>
                <c:pt idx="5">
                  <c:v>231.0319</c:v>
                </c:pt>
                <c:pt idx="6">
                  <c:v>235.8507</c:v>
                </c:pt>
                <c:pt idx="7">
                  <c:v>231.9675</c:v>
                </c:pt>
                <c:pt idx="8">
                  <c:v>231.1411</c:v>
                </c:pt>
                <c:pt idx="9">
                  <c:v>223.0158</c:v>
                </c:pt>
                <c:pt idx="10">
                  <c:v>216.4258</c:v>
                </c:pt>
                <c:pt idx="11">
                  <c:v>215.7276</c:v>
                </c:pt>
                <c:pt idx="12">
                  <c:v>213.0277</c:v>
                </c:pt>
                <c:pt idx="13">
                  <c:v>216.2627</c:v>
                </c:pt>
                <c:pt idx="14">
                  <c:v>221.0558</c:v>
                </c:pt>
                <c:pt idx="15">
                  <c:v>226.9795</c:v>
                </c:pt>
                <c:pt idx="16">
                  <c:v>223.9164</c:v>
                </c:pt>
              </c:numCache>
            </c:numRef>
          </c:val>
          <c:smooth val="0"/>
        </c:ser>
        <c:ser>
          <c:idx val="3"/>
          <c:order val="3"/>
          <c:tx>
            <c:strRef>
              <c:f>Final!$M$1</c:f>
              <c:strCache>
                <c:ptCount val="1"/>
                <c:pt idx="0">
                  <c:v>Post &amp; Telecom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Final!$I$2:$I$18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Final!$M$2:$M$18</c:f>
              <c:numCache>
                <c:formatCode>General</c:formatCode>
                <c:ptCount val="17"/>
                <c:pt idx="0">
                  <c:v>308.4001999999996</c:v>
                </c:pt>
                <c:pt idx="1">
                  <c:v>308.7688</c:v>
                </c:pt>
                <c:pt idx="2">
                  <c:v>306.8195999999999</c:v>
                </c:pt>
                <c:pt idx="3">
                  <c:v>310.4202999999997</c:v>
                </c:pt>
                <c:pt idx="4">
                  <c:v>316.8470000000001</c:v>
                </c:pt>
                <c:pt idx="5">
                  <c:v>310.3827</c:v>
                </c:pt>
                <c:pt idx="6">
                  <c:v>320.2132999999996</c:v>
                </c:pt>
                <c:pt idx="7">
                  <c:v>311.8553</c:v>
                </c:pt>
                <c:pt idx="8">
                  <c:v>313.5266999999996</c:v>
                </c:pt>
                <c:pt idx="9">
                  <c:v>302.0878</c:v>
                </c:pt>
                <c:pt idx="10">
                  <c:v>295.3104</c:v>
                </c:pt>
                <c:pt idx="11">
                  <c:v>282.9293</c:v>
                </c:pt>
                <c:pt idx="12">
                  <c:v>284.6626</c:v>
                </c:pt>
                <c:pt idx="13">
                  <c:v>293.3095</c:v>
                </c:pt>
                <c:pt idx="14">
                  <c:v>298.8376</c:v>
                </c:pt>
                <c:pt idx="15">
                  <c:v>303.18</c:v>
                </c:pt>
                <c:pt idx="16">
                  <c:v>304.3698</c:v>
                </c:pt>
              </c:numCache>
            </c:numRef>
          </c:val>
          <c:smooth val="0"/>
        </c:ser>
        <c:ser>
          <c:idx val="4"/>
          <c:order val="4"/>
          <c:tx>
            <c:strRef>
              <c:f>Final!$N$1</c:f>
              <c:strCache>
                <c:ptCount val="1"/>
                <c:pt idx="0">
                  <c:v>Finance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Final!$I$2:$I$18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Final!$N$2:$N$18</c:f>
              <c:numCache>
                <c:formatCode>General</c:formatCode>
                <c:ptCount val="17"/>
                <c:pt idx="0">
                  <c:v>334.1401</c:v>
                </c:pt>
                <c:pt idx="1">
                  <c:v>338.1593000000001</c:v>
                </c:pt>
                <c:pt idx="2">
                  <c:v>333.6494</c:v>
                </c:pt>
                <c:pt idx="3">
                  <c:v>328.9962999999996</c:v>
                </c:pt>
                <c:pt idx="4">
                  <c:v>343.3787999999996</c:v>
                </c:pt>
                <c:pt idx="5">
                  <c:v>348.0321999999996</c:v>
                </c:pt>
                <c:pt idx="6">
                  <c:v>348.648</c:v>
                </c:pt>
                <c:pt idx="7">
                  <c:v>355.0749</c:v>
                </c:pt>
                <c:pt idx="8">
                  <c:v>361.7300999999996</c:v>
                </c:pt>
                <c:pt idx="9">
                  <c:v>334.7398</c:v>
                </c:pt>
                <c:pt idx="10">
                  <c:v>336.6146</c:v>
                </c:pt>
                <c:pt idx="11">
                  <c:v>337.7371999999996</c:v>
                </c:pt>
                <c:pt idx="12">
                  <c:v>338.4144</c:v>
                </c:pt>
                <c:pt idx="13">
                  <c:v>341.3027</c:v>
                </c:pt>
                <c:pt idx="14">
                  <c:v>338.9504</c:v>
                </c:pt>
                <c:pt idx="15">
                  <c:v>389.1427</c:v>
                </c:pt>
                <c:pt idx="16">
                  <c:v>385.574</c:v>
                </c:pt>
              </c:numCache>
            </c:numRef>
          </c:val>
          <c:smooth val="0"/>
        </c:ser>
        <c:ser>
          <c:idx val="5"/>
          <c:order val="5"/>
          <c:tx>
            <c:strRef>
              <c:f>Final!$O$1</c:f>
              <c:strCache>
                <c:ptCount val="1"/>
                <c:pt idx="0">
                  <c:v>Business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Final!$I$2:$I$18</c:f>
              <c:numCache>
                <c:formatCode>General</c:formatCode>
                <c:ptCount val="17"/>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numCache>
            </c:numRef>
          </c:cat>
          <c:val>
            <c:numRef>
              <c:f>Final!$O$2:$O$18</c:f>
              <c:numCache>
                <c:formatCode>General</c:formatCode>
                <c:ptCount val="17"/>
                <c:pt idx="0">
                  <c:v>375.6585</c:v>
                </c:pt>
                <c:pt idx="1">
                  <c:v>374.0389</c:v>
                </c:pt>
                <c:pt idx="2">
                  <c:v>368.2667</c:v>
                </c:pt>
                <c:pt idx="3">
                  <c:v>357.7223999999996</c:v>
                </c:pt>
                <c:pt idx="4">
                  <c:v>361.7142</c:v>
                </c:pt>
                <c:pt idx="5">
                  <c:v>350.6058</c:v>
                </c:pt>
                <c:pt idx="6">
                  <c:v>343.1237</c:v>
                </c:pt>
                <c:pt idx="7">
                  <c:v>348.3766</c:v>
                </c:pt>
                <c:pt idx="8">
                  <c:v>336.4572</c:v>
                </c:pt>
                <c:pt idx="9">
                  <c:v>330.6705</c:v>
                </c:pt>
                <c:pt idx="10">
                  <c:v>324.3195</c:v>
                </c:pt>
                <c:pt idx="11">
                  <c:v>315.1898</c:v>
                </c:pt>
                <c:pt idx="12">
                  <c:v>312.0371</c:v>
                </c:pt>
                <c:pt idx="13">
                  <c:v>300.8389</c:v>
                </c:pt>
                <c:pt idx="14">
                  <c:v>308.0806999999999</c:v>
                </c:pt>
                <c:pt idx="15">
                  <c:v>319.5731</c:v>
                </c:pt>
                <c:pt idx="16">
                  <c:v>319.1008</c:v>
                </c:pt>
              </c:numCache>
            </c:numRef>
          </c:val>
          <c:smooth val="0"/>
        </c:ser>
        <c:dLbls>
          <c:showLegendKey val="0"/>
          <c:showVal val="0"/>
          <c:showCatName val="0"/>
          <c:showSerName val="0"/>
          <c:showPercent val="0"/>
          <c:showBubbleSize val="0"/>
        </c:dLbls>
        <c:marker val="1"/>
        <c:smooth val="0"/>
        <c:axId val="2058559576"/>
        <c:axId val="-2119760136"/>
      </c:lineChart>
      <c:catAx>
        <c:axId val="2058559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760136"/>
        <c:crosses val="autoZero"/>
        <c:auto val="1"/>
        <c:lblAlgn val="ctr"/>
        <c:lblOffset val="100"/>
        <c:noMultiLvlLbl val="0"/>
      </c:catAx>
      <c:valAx>
        <c:axId val="-2119760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Ad Valorem Equivalent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855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D95E-6D26-6240-84BD-7ECF26B6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6761</Words>
  <Characters>38543</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45214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MIROUDOT Sebastien</dc:creator>
  <cp:lastModifiedBy>Ben Shepherd</cp:lastModifiedBy>
  <cp:revision>2</cp:revision>
  <dcterms:created xsi:type="dcterms:W3CDTF">2015-06-03T13:56:00Z</dcterms:created>
  <dcterms:modified xsi:type="dcterms:W3CDTF">2015-06-03T13:56:00Z</dcterms:modified>
</cp:coreProperties>
</file>